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ind w:left="1104" w:hanging="1101" w:hangingChars="500"/>
        <w:rPr>
          <w:rFonts w:ascii="Arial" w:hAnsi="Arial" w:eastAsia="宋体" w:cs="Arial"/>
          <w:b/>
          <w:bCs/>
          <w:sz w:val="22"/>
          <w:szCs w:val="22"/>
        </w:rPr>
      </w:pPr>
      <w:r>
        <w:rPr>
          <w:rFonts w:hint="eastAsia" w:ascii="Arial" w:hAnsi="Arial" w:cs="Arial"/>
          <w:b/>
          <w:bCs/>
          <w:sz w:val="22"/>
          <w:szCs w:val="22"/>
          <w:lang w:eastAsia="ja-JP"/>
        </w:rPr>
        <w:t>3GPP TSG RAN WG1 #11</w:t>
      </w:r>
      <w:r>
        <w:rPr>
          <w:rFonts w:hint="eastAsia" w:ascii="Arial" w:hAnsi="Arial" w:eastAsia="宋体" w:cs="Arial"/>
          <w:b/>
          <w:bCs/>
          <w:sz w:val="22"/>
          <w:szCs w:val="22"/>
        </w:rPr>
        <w:t>5                                               R1-2310987</w:t>
      </w:r>
    </w:p>
    <w:p>
      <w:pPr>
        <w:spacing w:before="120" w:after="120"/>
        <w:ind w:left="1104" w:hanging="1101" w:hangingChars="500"/>
        <w:rPr>
          <w:rFonts w:ascii="Arial" w:hAnsi="Arial" w:cs="Arial"/>
          <w:b/>
          <w:bCs/>
          <w:sz w:val="22"/>
          <w:szCs w:val="22"/>
          <w:lang w:eastAsia="ja-JP"/>
        </w:rPr>
      </w:pPr>
      <w:r>
        <w:rPr>
          <w:rFonts w:hint="eastAsia" w:ascii="Arial" w:hAnsi="Arial" w:cs="Arial"/>
          <w:b/>
          <w:bCs/>
          <w:sz w:val="22"/>
          <w:szCs w:val="22"/>
          <w:lang w:eastAsia="ja-JP"/>
        </w:rPr>
        <w:t xml:space="preserve">Chicago, USA, </w:t>
      </w:r>
      <w:r>
        <w:rPr>
          <w:rFonts w:hint="eastAsia" w:ascii="Arial" w:hAnsi="Arial" w:eastAsia="宋体" w:cs="Arial"/>
          <w:b/>
          <w:bCs/>
          <w:sz w:val="22"/>
          <w:szCs w:val="22"/>
        </w:rPr>
        <w:t>November 13</w:t>
      </w:r>
      <w:r>
        <w:rPr>
          <w:rFonts w:hint="eastAsia" w:ascii="Arial" w:hAnsi="Arial" w:eastAsia="宋体" w:cs="Arial"/>
          <w:b/>
          <w:bCs/>
          <w:sz w:val="22"/>
          <w:szCs w:val="22"/>
          <w:vertAlign w:val="superscript"/>
        </w:rPr>
        <w:t>th</w:t>
      </w:r>
      <w:r>
        <w:rPr>
          <w:rFonts w:hint="eastAsia" w:ascii="Arial" w:hAnsi="Arial" w:eastAsia="宋体" w:cs="Arial"/>
          <w:b/>
          <w:bCs/>
          <w:sz w:val="22"/>
          <w:szCs w:val="22"/>
        </w:rPr>
        <w:t xml:space="preserve"> </w:t>
      </w:r>
      <w:r>
        <w:rPr>
          <w:rFonts w:hint="eastAsia" w:ascii="Arial" w:hAnsi="Arial" w:cs="Arial"/>
          <w:b/>
          <w:bCs/>
          <w:sz w:val="22"/>
          <w:szCs w:val="22"/>
          <w:lang w:eastAsia="ja-JP"/>
        </w:rPr>
        <w:t xml:space="preserve">– </w:t>
      </w:r>
      <w:r>
        <w:rPr>
          <w:rFonts w:hint="eastAsia" w:ascii="Arial" w:hAnsi="Arial" w:eastAsia="宋体" w:cs="Arial"/>
          <w:b/>
          <w:bCs/>
          <w:sz w:val="22"/>
          <w:szCs w:val="22"/>
        </w:rPr>
        <w:t>November 17</w:t>
      </w:r>
      <w:r>
        <w:rPr>
          <w:rFonts w:hint="eastAsia" w:ascii="Arial" w:hAnsi="Arial" w:eastAsia="宋体" w:cs="Arial"/>
          <w:b/>
          <w:bCs/>
          <w:sz w:val="22"/>
          <w:szCs w:val="22"/>
          <w:vertAlign w:val="superscript"/>
        </w:rPr>
        <w:t>th</w:t>
      </w:r>
      <w:r>
        <w:rPr>
          <w:rFonts w:hint="eastAsia" w:ascii="Arial" w:hAnsi="Arial" w:cs="Arial"/>
          <w:b/>
          <w:bCs/>
          <w:sz w:val="22"/>
          <w:szCs w:val="22"/>
          <w:lang w:eastAsia="ja-JP"/>
        </w:rPr>
        <w:t>, 2023</w:t>
      </w:r>
    </w:p>
    <w:p>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Pr>
          <w:rFonts w:hint="eastAsia" w:ascii="Arial" w:hAnsi="Arial" w:eastAsia="宋体" w:cs="Arial"/>
          <w:b/>
          <w:sz w:val="22"/>
          <w:szCs w:val="22"/>
        </w:rPr>
        <w:t>8</w:t>
      </w:r>
      <w:r>
        <w:rPr>
          <w:rFonts w:ascii="Arial" w:hAnsi="Arial" w:cs="Arial"/>
          <w:b/>
          <w:sz w:val="22"/>
          <w:szCs w:val="22"/>
        </w:rPr>
        <w:t>.</w:t>
      </w:r>
      <w:r>
        <w:rPr>
          <w:rFonts w:hint="eastAsia" w:ascii="Arial" w:hAnsi="Arial" w:eastAsia="宋体" w:cs="Arial"/>
          <w:b/>
          <w:sz w:val="22"/>
          <w:szCs w:val="22"/>
        </w:rPr>
        <w:t>14</w:t>
      </w:r>
      <w:r>
        <w:rPr>
          <w:rFonts w:ascii="Arial" w:hAnsi="Arial" w:cs="Arial"/>
          <w:b/>
          <w:sz w:val="22"/>
          <w:szCs w:val="22"/>
        </w:rPr>
        <w:t>.1</w:t>
      </w:r>
    </w:p>
    <w:p>
      <w:pPr>
        <w:spacing w:before="120" w:after="12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Discussion on general aspects of common AI PHY framework</w:t>
      </w:r>
    </w:p>
    <w:p>
      <w:pPr>
        <w:spacing w:before="120" w:after="12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 Corporation</w:t>
      </w:r>
    </w:p>
    <w:p>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spacing w:before="120" w:after="120"/>
        <w:ind w:left="1985" w:hanging="1985"/>
        <w:rPr>
          <w:rFonts w:ascii="Arial" w:hAnsi="Arial" w:cs="Arial"/>
          <w:b/>
          <w:sz w:val="22"/>
          <w:szCs w:val="22"/>
        </w:rPr>
      </w:pPr>
    </w:p>
    <w:p>
      <w:pPr>
        <w:pStyle w:val="2"/>
        <w:spacing w:before="72" w:beforeLines="30" w:after="72" w:afterLines="30" w:line="288" w:lineRule="auto"/>
      </w:pPr>
      <w:r>
        <w:rPr>
          <w:rFonts w:hint="eastAsia"/>
        </w:rPr>
        <w:t>Introduction</w:t>
      </w:r>
    </w:p>
    <w:p>
      <w:pPr>
        <w:snapToGrid w:val="0"/>
        <w:spacing w:before="72" w:beforeLines="30" w:after="72" w:afterLines="30" w:line="288" w:lineRule="auto"/>
        <w:rPr>
          <w:rFonts w:eastAsia="微软雅黑"/>
        </w:rPr>
      </w:pPr>
      <w:r>
        <w:rPr>
          <w:rFonts w:eastAsia="微软雅黑"/>
        </w:rPr>
        <w:t xml:space="preserve">In 3GPP TSG RAN#94e meeting, a new SID was approved to study AI/ML technologies over air interface [1]. </w:t>
      </w:r>
      <w:r>
        <w:rPr>
          <w:rFonts w:hint="eastAsia"/>
        </w:rPr>
        <w:t>During the SI, companies have shown their collaborative thoughts and efforts on this unexplored topic in the physical layer</w:t>
      </w:r>
      <w:r>
        <w:t>, e.g., extensive</w:t>
      </w:r>
      <w:r>
        <w:rPr>
          <w:rFonts w:hint="eastAsia"/>
        </w:rPr>
        <w:t xml:space="preserve"> discussions on the clarification</w:t>
      </w:r>
      <w:bookmarkStart w:id="71" w:name="_GoBack"/>
      <w:bookmarkEnd w:id="71"/>
      <w:r>
        <w:rPr>
          <w:rFonts w:hint="eastAsia"/>
        </w:rPr>
        <w:t>s for the life cycle management of AI/ML</w:t>
      </w:r>
      <w:r>
        <w:t xml:space="preserve">, </w:t>
      </w:r>
      <w:r>
        <w:rPr>
          <w:rFonts w:hint="eastAsia"/>
        </w:rPr>
        <w:t xml:space="preserve">simulation </w:t>
      </w:r>
      <w:r>
        <w:t>assumption</w:t>
      </w:r>
      <w:r>
        <w:rPr>
          <w:rFonts w:hint="eastAsia"/>
        </w:rPr>
        <w:t>s</w:t>
      </w:r>
      <w:r>
        <w:t xml:space="preserve"> </w:t>
      </w:r>
      <w:r>
        <w:rPr>
          <w:rFonts w:hint="eastAsia"/>
        </w:rPr>
        <w:t xml:space="preserve">and results on data collection, model inference, model generalization, and model monitoring. </w:t>
      </w:r>
      <w:r>
        <w:rPr>
          <w:rFonts w:hint="eastAsia" w:eastAsia="微软雅黑"/>
        </w:rPr>
        <w:t xml:space="preserve">The study item was planned to be completed in RAN1#114 meeting. However, as shown in the status report [2], the SI was not yet complete because of some important left-over issues such as model transfer and model identification procedures. Thus, the study item for AI/ML is extended to the fourth quarter of 2023 with 2 TUs per meeting. In RAN1#114bis meeting, the remaining issues of the AI/ML framework were further discussed, with good progress being made on the clarification of additional conditions and unification of the two LCMs. Besides, the necessity and benefits of different types of model identification and model transfer were also addressed, without a clear conclusion being reached yet. </w:t>
      </w:r>
      <w:r>
        <w:rPr>
          <w:rFonts w:eastAsia="微软雅黑"/>
        </w:rPr>
        <w:t xml:space="preserve">In this contribution, we provide our further views on the </w:t>
      </w:r>
      <w:r>
        <w:rPr>
          <w:rFonts w:hint="eastAsia" w:eastAsia="微软雅黑"/>
        </w:rPr>
        <w:t>remaining</w:t>
      </w:r>
      <w:r>
        <w:rPr>
          <w:rFonts w:eastAsia="微软雅黑"/>
        </w:rPr>
        <w:t xml:space="preserve"> issues for general aspects</w:t>
      </w:r>
      <w:r>
        <w:rPr>
          <w:rFonts w:hint="eastAsia" w:eastAsia="微软雅黑"/>
        </w:rPr>
        <w:t xml:space="preserve"> of AI PHY framework.</w:t>
      </w:r>
    </w:p>
    <w:p>
      <w:pPr>
        <w:snapToGrid w:val="0"/>
        <w:spacing w:before="72" w:beforeLines="30" w:after="72" w:afterLines="30" w:line="288" w:lineRule="auto"/>
        <w:rPr>
          <w:rFonts w:eastAsia="微软雅黑"/>
        </w:rPr>
      </w:pPr>
    </w:p>
    <w:p>
      <w:pPr>
        <w:pStyle w:val="2"/>
        <w:spacing w:before="72" w:beforeLines="30" w:after="72" w:afterLines="30" w:line="288" w:lineRule="auto"/>
      </w:pPr>
      <w:r>
        <w:rPr>
          <w:rFonts w:hint="eastAsia"/>
        </w:rPr>
        <w:t>Model/functionality identification</w:t>
      </w:r>
    </w:p>
    <w:p>
      <w:pPr>
        <w:pStyle w:val="3"/>
      </w:pPr>
      <w:r>
        <w:rPr>
          <w:rFonts w:hint="eastAsia"/>
        </w:rPr>
        <w:t>Handling of additional conditions</w:t>
      </w:r>
    </w:p>
    <w:p>
      <w:pPr>
        <w:snapToGrid w:val="0"/>
        <w:spacing w:before="72" w:beforeLines="30" w:after="72" w:afterLines="30" w:line="288" w:lineRule="auto"/>
        <w:rPr>
          <w:rFonts w:eastAsia="微软雅黑"/>
        </w:rPr>
      </w:pPr>
      <w:r>
        <w:rPr>
          <w:rFonts w:hint="eastAsia" w:eastAsia="微软雅黑"/>
        </w:rPr>
        <w:t>In RAN1#114bis meeting, additional conditions are clarified as aspects assumed for the model training but not a part of UE capability. Besides, to guarantee the inference performance of UE-side models, four options shown below were proposed as potential approaches to ensure consistency between training and inference regarding NW-side additional conditions (if identified).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snapToGrid w:val="0"/>
              <w:spacing w:before="72" w:beforeLines="30" w:after="72" w:afterLines="30" w:line="288" w:lineRule="auto"/>
              <w:rPr>
                <w:rFonts w:eastAsia="等线"/>
                <w:b/>
                <w:bCs/>
                <w:u w:val="single"/>
              </w:rPr>
            </w:pPr>
            <w:r>
              <w:rPr>
                <w:rFonts w:hint="eastAsia" w:eastAsia="等线"/>
                <w:b/>
                <w:bCs/>
                <w:u w:val="single"/>
              </w:rPr>
              <w:t>Agreement (RAN1#114bis):</w:t>
            </w:r>
          </w:p>
          <w:p>
            <w:pPr>
              <w:widowControl/>
              <w:numPr>
                <w:ilvl w:val="0"/>
                <w:numId w:val="13"/>
              </w:numPr>
              <w:snapToGrid w:val="0"/>
              <w:spacing w:before="72" w:beforeLines="30" w:after="72" w:afterLines="30" w:line="288" w:lineRule="auto"/>
              <w:rPr>
                <w:rFonts w:eastAsia="Calibri"/>
                <w:lang w:val="en-GB" w:eastAsia="en-US"/>
              </w:rPr>
            </w:pPr>
            <w:r>
              <w:rPr>
                <w:rFonts w:eastAsia="Calibri"/>
                <w:lang w:val="en-GB" w:eastAsia="en-US"/>
              </w:rPr>
              <w:t>For an AI/ML-enabled feature/FG, additional conditions refer to any aspects that are assumed for the training of the model but are not a part of UE capability for the AI/ML-enabled feature/FG.</w:t>
            </w:r>
          </w:p>
          <w:p>
            <w:pPr>
              <w:widowControl/>
              <w:numPr>
                <w:ilvl w:val="1"/>
                <w:numId w:val="13"/>
              </w:numPr>
              <w:snapToGrid w:val="0"/>
              <w:spacing w:before="72" w:beforeLines="30" w:after="72" w:afterLines="30" w:line="288" w:lineRule="auto"/>
              <w:rPr>
                <w:rFonts w:eastAsia="Calibri"/>
                <w:lang w:val="en-GB" w:eastAsia="en-US"/>
              </w:rPr>
            </w:pPr>
            <w:r>
              <w:rPr>
                <w:rFonts w:eastAsia="Calibri"/>
                <w:lang w:val="en-GB"/>
              </w:rPr>
              <w:t xml:space="preserve">It doesn’t imply that additional conditions are necessarily specified </w:t>
            </w:r>
          </w:p>
          <w:p>
            <w:pPr>
              <w:widowControl/>
              <w:snapToGrid w:val="0"/>
              <w:spacing w:before="72" w:beforeLines="30" w:after="72" w:afterLines="30" w:line="288" w:lineRule="auto"/>
              <w:rPr>
                <w:rFonts w:eastAsia="Calibri"/>
                <w:lang w:val="en-GB"/>
              </w:rPr>
            </w:pPr>
          </w:p>
          <w:p>
            <w:pPr>
              <w:widowControl/>
              <w:snapToGrid w:val="0"/>
              <w:spacing w:before="72" w:beforeLines="30" w:after="72" w:afterLines="30" w:line="288" w:lineRule="auto"/>
              <w:rPr>
                <w:rFonts w:eastAsia="等线"/>
                <w:b/>
                <w:bCs/>
                <w:u w:val="single"/>
              </w:rPr>
            </w:pPr>
            <w:r>
              <w:rPr>
                <w:rFonts w:hint="eastAsia" w:eastAsia="等线"/>
                <w:b/>
                <w:bCs/>
                <w:u w:val="single"/>
              </w:rPr>
              <w:t>Agreement (RAN1#114bis):</w:t>
            </w:r>
          </w:p>
          <w:p>
            <w:pPr>
              <w:widowControl/>
              <w:numPr>
                <w:ilvl w:val="0"/>
                <w:numId w:val="13"/>
              </w:numPr>
              <w:snapToGrid w:val="0"/>
              <w:spacing w:before="72" w:beforeLines="30" w:after="72" w:afterLines="30" w:line="288" w:lineRule="auto"/>
              <w:rPr>
                <w:rFonts w:eastAsia="Calibri"/>
                <w:lang w:val="en-GB" w:eastAsia="en-US"/>
              </w:rPr>
            </w:pPr>
            <w:r>
              <w:rPr>
                <w:rFonts w:hint="eastAsia" w:eastAsia="Calibri"/>
                <w:lang w:val="en-GB" w:eastAsia="en-US"/>
              </w:rPr>
              <w:t>A</w:t>
            </w:r>
            <w:r>
              <w:rPr>
                <w:rFonts w:eastAsia="Calibri"/>
                <w:lang w:val="en-GB" w:eastAsia="en-US"/>
              </w:rPr>
              <w:t xml:space="preserve">dditional conditions can be divided into two categories: NW-side additional conditions and UE-side additional conditions. </w:t>
            </w:r>
          </w:p>
          <w:p>
            <w:pPr>
              <w:widowControl/>
              <w:numPr>
                <w:ilvl w:val="0"/>
                <w:numId w:val="13"/>
              </w:numPr>
              <w:snapToGrid w:val="0"/>
              <w:spacing w:before="72" w:beforeLines="30" w:after="72" w:afterLines="30" w:line="288" w:lineRule="auto"/>
              <w:rPr>
                <w:rFonts w:eastAsia="Calibri"/>
                <w:lang w:val="en-GB" w:eastAsia="en-US"/>
              </w:rPr>
            </w:pPr>
            <w:r>
              <w:rPr>
                <w:rFonts w:hint="eastAsia" w:eastAsia="Calibri"/>
                <w:lang w:val="en-GB"/>
              </w:rPr>
              <w:t>N</w:t>
            </w:r>
            <w:r>
              <w:rPr>
                <w:rFonts w:eastAsia="Calibri"/>
                <w:lang w:val="en-GB"/>
              </w:rPr>
              <w:t>ote: whether specification impact is needed is separate discussion</w:t>
            </w:r>
          </w:p>
          <w:p>
            <w:pPr>
              <w:widowControl/>
              <w:snapToGrid w:val="0"/>
              <w:spacing w:before="72" w:beforeLines="30" w:after="72" w:afterLines="30" w:line="288" w:lineRule="auto"/>
              <w:rPr>
                <w:rFonts w:eastAsia="Calibri"/>
                <w:lang w:val="en-GB" w:eastAsia="en-US"/>
              </w:rPr>
            </w:pPr>
          </w:p>
          <w:p>
            <w:pPr>
              <w:widowControl/>
              <w:snapToGrid w:val="0"/>
              <w:spacing w:before="72" w:beforeLines="30" w:after="72" w:afterLines="30" w:line="288" w:lineRule="auto"/>
              <w:rPr>
                <w:rFonts w:eastAsia="等线"/>
                <w:b/>
                <w:bCs/>
                <w:u w:val="single"/>
              </w:rPr>
            </w:pPr>
            <w:r>
              <w:rPr>
                <w:rFonts w:hint="eastAsia" w:eastAsia="等线"/>
                <w:b/>
                <w:bCs/>
                <w:u w:val="single"/>
              </w:rPr>
              <w:t>Agreement (RAN1#114bis):</w:t>
            </w:r>
          </w:p>
          <w:p>
            <w:pPr>
              <w:widowControl/>
              <w:numPr>
                <w:ilvl w:val="0"/>
                <w:numId w:val="13"/>
              </w:numPr>
              <w:snapToGrid w:val="0"/>
              <w:spacing w:before="72" w:beforeLines="30" w:after="72" w:afterLines="30" w:line="288" w:lineRule="auto"/>
              <w:rPr>
                <w:rFonts w:eastAsia="Calibri"/>
                <w:lang w:val="en-GB" w:eastAsia="en-US"/>
              </w:rPr>
            </w:pPr>
            <w:r>
              <w:rPr>
                <w:rFonts w:eastAsia="Calibri"/>
                <w:lang w:val="en-GB" w:eastAsia="en-US"/>
              </w:rPr>
              <w:t xml:space="preserve">For inference for UE-side models, to ensure consistency between training and inference regarding NW-side additional conditions (if identified), the following options can be taken as potential approaches (when feasible and necessary): </w:t>
            </w:r>
          </w:p>
          <w:p>
            <w:pPr>
              <w:widowControl/>
              <w:numPr>
                <w:ilvl w:val="1"/>
                <w:numId w:val="13"/>
              </w:numPr>
              <w:snapToGrid w:val="0"/>
              <w:spacing w:before="72" w:beforeLines="30" w:after="72" w:afterLines="30" w:line="288" w:lineRule="auto"/>
              <w:rPr>
                <w:rFonts w:eastAsia="Calibri"/>
                <w:lang w:val="en-GB" w:eastAsia="en-US"/>
              </w:rPr>
            </w:pPr>
            <w:r>
              <w:rPr>
                <w:rFonts w:eastAsia="Calibri"/>
                <w:lang w:val="en-GB" w:eastAsia="en-US"/>
              </w:rPr>
              <w:t>Model identification to achieve alignment on the NW-side additional condition between NW-side and UE-side</w:t>
            </w:r>
          </w:p>
          <w:p>
            <w:pPr>
              <w:widowControl/>
              <w:numPr>
                <w:ilvl w:val="1"/>
                <w:numId w:val="13"/>
              </w:numPr>
              <w:snapToGrid w:val="0"/>
              <w:spacing w:before="72" w:beforeLines="30" w:after="72" w:afterLines="30" w:line="288" w:lineRule="auto"/>
              <w:rPr>
                <w:rFonts w:eastAsia="Calibri"/>
                <w:lang w:val="en-GB" w:eastAsia="en-US"/>
              </w:rPr>
            </w:pPr>
            <w:r>
              <w:rPr>
                <w:rFonts w:eastAsia="Calibri"/>
                <w:lang w:val="en-GB" w:eastAsia="en-US"/>
              </w:rPr>
              <w:t>Model training at NW and transfer to UE, where the model has been trained under the additional condition</w:t>
            </w:r>
          </w:p>
          <w:p>
            <w:pPr>
              <w:widowControl/>
              <w:numPr>
                <w:ilvl w:val="1"/>
                <w:numId w:val="13"/>
              </w:numPr>
              <w:snapToGrid w:val="0"/>
              <w:spacing w:before="72" w:beforeLines="30" w:after="72" w:afterLines="30" w:line="288" w:lineRule="auto"/>
              <w:rPr>
                <w:rFonts w:eastAsia="Calibri"/>
                <w:lang w:val="en-GB" w:eastAsia="en-US"/>
              </w:rPr>
            </w:pPr>
            <w:r>
              <w:rPr>
                <w:rFonts w:eastAsia="Calibri"/>
                <w:lang w:val="en-GB" w:eastAsia="en-US"/>
              </w:rPr>
              <w:t xml:space="preserve">Information and/or indication on NW-side additional conditions is provided to UE </w:t>
            </w:r>
          </w:p>
          <w:p>
            <w:pPr>
              <w:widowControl/>
              <w:numPr>
                <w:ilvl w:val="1"/>
                <w:numId w:val="13"/>
              </w:numPr>
              <w:snapToGrid w:val="0"/>
              <w:spacing w:before="72" w:beforeLines="30" w:after="72" w:afterLines="30" w:line="288" w:lineRule="auto"/>
              <w:rPr>
                <w:rFonts w:eastAsia="Calibri"/>
                <w:lang w:val="en-GB" w:eastAsia="en-US"/>
              </w:rPr>
            </w:pPr>
            <w:r>
              <w:rPr>
                <w:rFonts w:eastAsia="Calibri"/>
                <w:lang w:val="en-GB" w:eastAsia="en-US"/>
              </w:rPr>
              <w:t>Consistency assisted by monitoring (by UE and/or NW, the performance of UE-side candidate models/functionalities to select a model/functionality)</w:t>
            </w:r>
          </w:p>
          <w:p>
            <w:pPr>
              <w:widowControl/>
              <w:numPr>
                <w:ilvl w:val="1"/>
                <w:numId w:val="13"/>
              </w:numPr>
              <w:snapToGrid w:val="0"/>
              <w:spacing w:before="72" w:beforeLines="30" w:after="72" w:afterLines="30" w:line="288" w:lineRule="auto"/>
              <w:rPr>
                <w:rFonts w:eastAsia="Calibri"/>
                <w:lang w:val="en-GB" w:eastAsia="en-US"/>
              </w:rPr>
            </w:pPr>
            <w:r>
              <w:rPr>
                <w:rFonts w:eastAsia="Calibri"/>
                <w:lang w:val="en-GB" w:eastAsia="en-US"/>
              </w:rPr>
              <w:t>Other approaches are not precluded</w:t>
            </w:r>
          </w:p>
          <w:p>
            <w:pPr>
              <w:widowControl/>
              <w:numPr>
                <w:ilvl w:val="1"/>
                <w:numId w:val="13"/>
              </w:numPr>
              <w:snapToGrid w:val="0"/>
              <w:spacing w:before="72" w:beforeLines="30" w:after="72" w:afterLines="30" w:line="288" w:lineRule="auto"/>
            </w:pPr>
            <w:r>
              <w:rPr>
                <w:rFonts w:eastAsia="Calibri"/>
                <w:lang w:val="en-GB" w:eastAsia="en-US"/>
              </w:rPr>
              <w:t>Note: it does not deny the possibility that different approaches can achieve the same function.</w:t>
            </w:r>
          </w:p>
          <w:p>
            <w:pPr>
              <w:widowControl/>
              <w:snapToGrid w:val="0"/>
              <w:spacing w:before="72" w:beforeLines="30" w:after="72" w:afterLines="30" w:line="288" w:lineRule="auto"/>
              <w:rPr>
                <w:rFonts w:eastAsia="Calibri"/>
                <w:lang w:val="en-GB" w:eastAsia="en-US"/>
              </w:rPr>
            </w:pPr>
          </w:p>
          <w:p>
            <w:pPr>
              <w:widowControl/>
              <w:snapToGrid w:val="0"/>
              <w:spacing w:before="72" w:beforeLines="30" w:after="72" w:afterLines="30" w:line="288" w:lineRule="auto"/>
              <w:rPr>
                <w:rFonts w:eastAsia="等线"/>
                <w:b/>
                <w:bCs/>
                <w:u w:val="single"/>
              </w:rPr>
            </w:pPr>
            <w:r>
              <w:rPr>
                <w:rFonts w:hint="eastAsia" w:eastAsia="等线"/>
                <w:b/>
                <w:bCs/>
                <w:u w:val="single"/>
              </w:rPr>
              <w:t>Proposal (RAN1#114bis):</w:t>
            </w:r>
          </w:p>
          <w:p>
            <w:pPr>
              <w:widowControl/>
              <w:snapToGrid w:val="0"/>
              <w:spacing w:before="72" w:beforeLines="30" w:after="72" w:afterLines="30" w:line="288" w:lineRule="auto"/>
              <w:rPr>
                <w:rFonts w:eastAsia="微软雅黑"/>
                <w:lang w:eastAsia="en-US"/>
              </w:rPr>
            </w:pPr>
            <w:r>
              <w:rPr>
                <w:rFonts w:eastAsia="微软雅黑"/>
                <w:lang w:eastAsia="en-US"/>
              </w:rPr>
              <w:t>For model identification of UE-side or UE-part of two-sided models, the following sub-types have been identified for each of the model identification types. Further study relevant aspects, necessity, and specification impact (if any).</w:t>
            </w:r>
          </w:p>
          <w:p>
            <w:pPr>
              <w:widowControl/>
              <w:numPr>
                <w:ilvl w:val="0"/>
                <w:numId w:val="13"/>
              </w:numPr>
              <w:snapToGrid w:val="0"/>
              <w:spacing w:before="72" w:beforeLines="30" w:after="72" w:afterLines="30" w:line="288" w:lineRule="auto"/>
              <w:rPr>
                <w:rFonts w:eastAsia="Calibri"/>
                <w:lang w:eastAsia="en-US"/>
              </w:rPr>
            </w:pPr>
            <w:r>
              <w:rPr>
                <w:rFonts w:eastAsia="Calibri"/>
                <w:lang w:eastAsia="en-US"/>
              </w:rPr>
              <w:t>Type A</w:t>
            </w:r>
          </w:p>
          <w:p>
            <w:pPr>
              <w:widowControl/>
              <w:numPr>
                <w:ilvl w:val="1"/>
                <w:numId w:val="13"/>
              </w:numPr>
              <w:snapToGrid w:val="0"/>
              <w:spacing w:before="72" w:beforeLines="30" w:after="72" w:afterLines="30" w:line="288" w:lineRule="auto"/>
              <w:rPr>
                <w:rFonts w:eastAsia="Calibri"/>
                <w:lang w:eastAsia="en-US"/>
              </w:rPr>
            </w:pPr>
            <w:r>
              <w:rPr>
                <w:rFonts w:eastAsia="Calibri"/>
                <w:lang w:eastAsia="en-US"/>
              </w:rPr>
              <w:t>Used to identify a model developed offline, potentially via multi-vendor collaboration</w:t>
            </w:r>
          </w:p>
          <w:p>
            <w:pPr>
              <w:widowControl/>
              <w:numPr>
                <w:ilvl w:val="0"/>
                <w:numId w:val="13"/>
              </w:numPr>
              <w:snapToGrid w:val="0"/>
              <w:spacing w:before="72" w:beforeLines="30" w:after="72" w:afterLines="30" w:line="288" w:lineRule="auto"/>
              <w:rPr>
                <w:rFonts w:eastAsia="Calibri"/>
                <w:lang w:eastAsia="en-US"/>
              </w:rPr>
            </w:pPr>
            <w:r>
              <w:rPr>
                <w:rFonts w:eastAsia="Calibri"/>
                <w:lang w:eastAsia="en-US"/>
              </w:rPr>
              <w:t>Type B1</w:t>
            </w:r>
          </w:p>
          <w:p>
            <w:pPr>
              <w:widowControl/>
              <w:numPr>
                <w:ilvl w:val="1"/>
                <w:numId w:val="13"/>
              </w:numPr>
              <w:snapToGrid w:val="0"/>
              <w:spacing w:before="72" w:beforeLines="30" w:after="72" w:afterLines="30" w:line="288" w:lineRule="auto"/>
              <w:rPr>
                <w:rFonts w:eastAsia="Calibri"/>
                <w:lang w:eastAsia="en-US"/>
              </w:rPr>
            </w:pPr>
            <w:r>
              <w:rPr>
                <w:rFonts w:eastAsia="Calibri"/>
                <w:lang w:eastAsia="en-US"/>
              </w:rPr>
              <w:t>B1-1: Used to identify a model developed offline, potentially via multi-vendor collaboration (Same as Type A)</w:t>
            </w:r>
          </w:p>
          <w:p>
            <w:pPr>
              <w:widowControl/>
              <w:numPr>
                <w:ilvl w:val="1"/>
                <w:numId w:val="13"/>
              </w:numPr>
              <w:snapToGrid w:val="0"/>
              <w:spacing w:before="72" w:beforeLines="30" w:after="72" w:afterLines="30" w:line="288" w:lineRule="auto"/>
              <w:rPr>
                <w:rFonts w:eastAsia="Calibri"/>
                <w:lang w:eastAsia="en-US"/>
              </w:rPr>
            </w:pPr>
            <w:r>
              <w:rPr>
                <w:rFonts w:eastAsia="Calibri"/>
                <w:lang w:eastAsia="en-US"/>
              </w:rPr>
              <w:t xml:space="preserve">B1-2: Used to identify a model using </w:t>
            </w:r>
            <w:bookmarkStart w:id="0" w:name="_Hlk147959253"/>
            <w:r>
              <w:rPr>
                <w:rFonts w:eastAsia="Calibri"/>
                <w:lang w:eastAsia="en-US"/>
              </w:rPr>
              <w:t>specified list of parameters and candidate values</w:t>
            </w:r>
            <w:bookmarkEnd w:id="0"/>
            <w:r>
              <w:rPr>
                <w:rFonts w:eastAsia="Calibri"/>
                <w:lang w:eastAsia="en-US"/>
              </w:rPr>
              <w:t>.</w:t>
            </w:r>
          </w:p>
          <w:p>
            <w:pPr>
              <w:widowControl/>
              <w:numPr>
                <w:ilvl w:val="1"/>
                <w:numId w:val="13"/>
              </w:numPr>
              <w:snapToGrid w:val="0"/>
              <w:spacing w:before="72" w:beforeLines="30" w:after="72" w:afterLines="30" w:line="288" w:lineRule="auto"/>
              <w:rPr>
                <w:rFonts w:eastAsia="Calibri"/>
                <w:lang w:eastAsia="en-US"/>
              </w:rPr>
            </w:pPr>
            <w:r>
              <w:rPr>
                <w:rFonts w:eastAsia="Calibri"/>
                <w:lang w:eastAsia="en-US"/>
              </w:rPr>
              <w:t>B1-3: Used to identify an updated UE-side/part model (e.g., via online training or finetuning inside UE) of a previously identified model via Type A or B1-1</w:t>
            </w:r>
          </w:p>
          <w:p>
            <w:pPr>
              <w:widowControl/>
              <w:numPr>
                <w:ilvl w:val="1"/>
                <w:numId w:val="13"/>
              </w:numPr>
              <w:snapToGrid w:val="0"/>
              <w:spacing w:before="72" w:beforeLines="30" w:after="72" w:afterLines="30" w:line="288" w:lineRule="auto"/>
              <w:rPr>
                <w:rFonts w:eastAsia="Calibri"/>
                <w:lang w:eastAsia="en-US"/>
              </w:rPr>
            </w:pPr>
            <w:r>
              <w:rPr>
                <w:rFonts w:eastAsia="Calibri"/>
                <w:lang w:eastAsia="en-US"/>
              </w:rPr>
              <w:t>B1-4: Used to identify a model using NW-indicated time duration and regions (e.g., cells/PCIs/TRPs/tracking areas)</w:t>
            </w:r>
          </w:p>
          <w:p>
            <w:pPr>
              <w:widowControl/>
              <w:numPr>
                <w:ilvl w:val="0"/>
                <w:numId w:val="13"/>
              </w:numPr>
              <w:snapToGrid w:val="0"/>
              <w:spacing w:before="72" w:beforeLines="30" w:after="72" w:afterLines="30" w:line="288" w:lineRule="auto"/>
              <w:rPr>
                <w:rFonts w:eastAsia="Calibri"/>
                <w:lang w:eastAsia="en-US"/>
              </w:rPr>
            </w:pPr>
            <w:r>
              <w:rPr>
                <w:rFonts w:eastAsia="Calibri"/>
                <w:lang w:eastAsia="en-US"/>
              </w:rPr>
              <w:t>Type B2</w:t>
            </w:r>
          </w:p>
          <w:p>
            <w:pPr>
              <w:widowControl/>
              <w:numPr>
                <w:ilvl w:val="1"/>
                <w:numId w:val="13"/>
              </w:numPr>
              <w:snapToGrid w:val="0"/>
              <w:spacing w:before="72" w:beforeLines="30" w:after="72" w:afterLines="30" w:line="288" w:lineRule="auto"/>
              <w:rPr>
                <w:rFonts w:eastAsia="Calibri"/>
                <w:lang w:eastAsia="en-US"/>
              </w:rPr>
            </w:pPr>
            <w:r>
              <w:rPr>
                <w:rFonts w:eastAsia="Calibri"/>
                <w:lang w:eastAsia="en-US"/>
              </w:rPr>
              <w:t>B2-1: Used along with model transfer from NW to UE</w:t>
            </w:r>
          </w:p>
          <w:p>
            <w:pPr>
              <w:widowControl/>
              <w:numPr>
                <w:ilvl w:val="1"/>
                <w:numId w:val="13"/>
              </w:numPr>
              <w:snapToGrid w:val="0"/>
              <w:spacing w:before="72" w:beforeLines="30" w:after="72" w:afterLines="30" w:line="288" w:lineRule="auto"/>
              <w:rPr>
                <w:rFonts w:eastAsia="Calibri"/>
                <w:lang w:val="en-GB" w:eastAsia="en-US"/>
              </w:rPr>
            </w:pPr>
            <w:r>
              <w:rPr>
                <w:rFonts w:eastAsia="Calibri"/>
                <w:lang w:eastAsia="en-US"/>
              </w:rPr>
              <w:t>B2-2: Used for NW to indicate data collection at UE. In this case, model ID is a logical ID (i.e., dataset ID) determined by NW and associated with the underlying conditions and additional conditions for the indicated data collection.</w:t>
            </w:r>
          </w:p>
        </w:tc>
      </w:tr>
    </w:tbl>
    <w:p>
      <w:pPr>
        <w:snapToGrid w:val="0"/>
        <w:spacing w:before="72" w:beforeLines="30" w:after="72" w:afterLines="30" w:line="288" w:lineRule="auto"/>
        <w:rPr>
          <w:rFonts w:eastAsia="微软雅黑"/>
        </w:rPr>
      </w:pPr>
      <w:r>
        <w:rPr>
          <w:rFonts w:hint="eastAsia" w:eastAsia="微软雅黑"/>
        </w:rPr>
        <w:t>In principle, additional conditions are still a conceptual term strongly relate to the specific use case and whether/how to define it shall be discussed per use case. Given the agreement reached in RAN1#114bis meeting assuming NW-side additional conditions are identified, we have the following analysis for each of the options for additional conditions alignment for inference.</w:t>
      </w:r>
    </w:p>
    <w:p>
      <w:pPr>
        <w:numPr>
          <w:ilvl w:val="0"/>
          <w:numId w:val="14"/>
        </w:numPr>
        <w:snapToGrid w:val="0"/>
        <w:spacing w:before="72" w:beforeLines="30" w:after="72" w:afterLines="30" w:line="288" w:lineRule="auto"/>
        <w:rPr>
          <w:rFonts w:eastAsia="微软雅黑"/>
        </w:rPr>
      </w:pPr>
      <w:r>
        <w:rPr>
          <w:rFonts w:hint="eastAsia" w:eastAsia="微软雅黑"/>
        </w:rPr>
        <w:t xml:space="preserve">Model identification. It appears that the alignment procedure on the NW-side additional conditions may be different for different model identification types. Specifically, for model identification Types A, B1-1, and B1-3 proposed in RAN1#114bis as shown above, the UE-side model or UE-part of two-sided models is developed offline potentially via multi-vendor collaboration, during which the NW-side additional conditions are aligned between NW and UE in an offline manner. Then, for model inference, the consistency between training and inference regarding NW-side additional conditions always can be ensured by activating/indicating the model ID that can better match the NW-side settings. Similarly, for model identification Types B1-4 and B2-2, the NW-side additional conditions are implied by the indicated time duration/regions (e.g., cells/PCIs/TRPs/tracking areas) and indicated data collection information (e.g., dataset ID), respectively, and the consistency between training and inference regarding NW-side additional conditions can be ensured by the model identification and model-ID based signaling. However, for model identification Type B1-2, the model is developed/trained offline by the UE side without multi-vendor collaboration, and both conditions and additional conditions associated with the model need to be provided to the NW as meta information during the model identification procedure. As NW-side additional conditions are only known at the NW side, some assistance information identifying the NW-side additional conditions (such as dataset </w:t>
      </w:r>
      <w:r>
        <w:rPr>
          <w:rFonts w:hint="eastAsia" w:eastAsia="微软雅黑"/>
          <w:lang w:val="en-GB" w:eastAsia="ko-KR"/>
        </w:rPr>
        <w:t xml:space="preserve">categorization </w:t>
      </w:r>
      <w:r>
        <w:rPr>
          <w:rFonts w:hint="eastAsia" w:eastAsia="微软雅黑"/>
        </w:rPr>
        <w:t xml:space="preserve">information) may need to be provided to the UE to facilitate the UE-side model training and model identification initiation. </w:t>
      </w:r>
    </w:p>
    <w:p>
      <w:pPr>
        <w:numPr>
          <w:ilvl w:val="0"/>
          <w:numId w:val="14"/>
        </w:numPr>
        <w:snapToGrid w:val="0"/>
        <w:spacing w:before="72" w:beforeLines="30" w:after="72" w:afterLines="30" w:line="288" w:lineRule="auto"/>
        <w:rPr>
          <w:rFonts w:eastAsia="宋体"/>
        </w:rPr>
      </w:pPr>
      <w:r>
        <w:rPr>
          <w:rFonts w:hint="eastAsia" w:eastAsia="微软雅黑"/>
        </w:rPr>
        <w:t xml:space="preserve">Model transfer. Generally, additional conditions are already implicit in the model itself if the model is trained under specific additional conditions. Therefore, in order to ensure the consistency between training and inference regarding NW-side additional conditions, the NW can deliver/transfer a model in a proprietary or open format whose </w:t>
      </w:r>
      <w:r>
        <w:rPr>
          <w:rFonts w:eastAsia="微软雅黑"/>
          <w:lang w:eastAsia="en-US"/>
        </w:rPr>
        <w:t xml:space="preserve">underlying </w:t>
      </w:r>
      <w:r>
        <w:rPr>
          <w:rFonts w:hint="eastAsia" w:eastAsia="微软雅黑"/>
        </w:rPr>
        <w:t xml:space="preserve">additional conditions precisely match the current NW side settings. This option is also aligned with the model identification Type B2-1, accompanied by necessity and feasibility issues of model transfer. For one-sided model (such as the model used in beam management and positioning use cases), the benefit and necessity of model transfer is rather weak as both the NW </w:t>
      </w:r>
      <w:r>
        <w:rPr>
          <w:rFonts w:hint="eastAsia" w:eastAsia="微软雅黑"/>
          <w:lang w:val="en-US" w:eastAsia="zh-CN"/>
        </w:rPr>
        <w:t xml:space="preserve">side </w:t>
      </w:r>
      <w:r>
        <w:rPr>
          <w:rFonts w:hint="eastAsia" w:eastAsia="微软雅黑"/>
        </w:rPr>
        <w:t>and UE side can train a model separately with satisfactory inference performance according to simulation results in the evaluation agenda. For two-sided model, model delivery/transfer is normally needed for Type 1 training of CSI compression sub use case, where the additional conditions can be aligned by the model pairing procedure. However, as discussed in the model transfer section, the feasibility of model transfer is still doubtful due to challenges and requirements on preservation of proprietary design, performance guarantee and testability, and device specific optimization.</w:t>
      </w:r>
    </w:p>
    <w:p>
      <w:pPr>
        <w:numPr>
          <w:ilvl w:val="0"/>
          <w:numId w:val="14"/>
        </w:numPr>
        <w:snapToGrid w:val="0"/>
        <w:spacing w:before="72" w:beforeLines="30" w:after="72" w:afterLines="30" w:line="288" w:lineRule="auto"/>
        <w:rPr>
          <w:lang w:eastAsia="en-US"/>
        </w:rPr>
      </w:pPr>
      <w:r>
        <w:rPr>
          <w:rFonts w:hint="eastAsia" w:eastAsia="微软雅黑"/>
        </w:rPr>
        <w:t>Assistance information transmission. We assume model-ID based signaling is not applied in this option to avoid repetitive discussion. Considering the limited generalization capability of the UE side model, dataset categorization information may be provided to the UE during the training procedure for the development of scenario/site/dataset specific model with improved inference performance. For example, as shown in the following figure, the ID of the dataset categorization information implying the NW-side additional conditions is made available to the UE for model training. Then, for model inference, the ID of the dataset categorization information reflecting the current NW-side settings is also provided to the UE to assist the UE-side transparent selection, activation, deactivation, switching, and monitoring of the model or updating of the applicable functionality. Alternatively, the ID of the dataset categorization information associated with each functionality is reported to the NW outside of UE capability and accordingly, the NW can activate or indicate the functionality for inference which can match the current NW-side settings. In this case, the consistency between training and inference with respect to NW-side additional conditions (if identified) can be ensured by the alignment of dataset categorization information. However, the provision of dataset categorization information from NW to UE may raise issues of disclosure of NW-side proprietary information, as any dataset categorization ID would be meaningless for model training if there is no alignment on the underlying characteristics associated with the ID.</w:t>
      </w:r>
    </w:p>
    <w:p>
      <w:pPr>
        <w:snapToGrid w:val="0"/>
        <w:spacing w:before="72" w:beforeLines="30" w:after="72" w:afterLines="30" w:line="288" w:lineRule="auto"/>
        <w:jc w:val="center"/>
        <w:rPr>
          <w:rFonts w:eastAsia="宋体"/>
        </w:rPr>
      </w:pPr>
      <w:r>
        <w:rPr>
          <w:rFonts w:hint="eastAsia" w:eastAsia="宋体"/>
        </w:rPr>
        <w:drawing>
          <wp:inline distT="0" distB="0" distL="114300" distR="114300">
            <wp:extent cx="4542155" cy="1626235"/>
            <wp:effectExtent l="0" t="0" r="2540" b="0"/>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pic:cNvPicPr>
                  </pic:nvPicPr>
                  <pic:blipFill>
                    <a:blip r:embed="rId10"/>
                    <a:stretch>
                      <a:fillRect/>
                    </a:stretch>
                  </pic:blipFill>
                  <pic:spPr>
                    <a:xfrm>
                      <a:off x="0" y="0"/>
                      <a:ext cx="4542155" cy="1626235"/>
                    </a:xfrm>
                    <a:prstGeom prst="rect">
                      <a:avLst/>
                    </a:prstGeom>
                  </pic:spPr>
                </pic:pic>
              </a:graphicData>
            </a:graphic>
          </wp:inline>
        </w:drawing>
      </w:r>
    </w:p>
    <w:p>
      <w:pPr>
        <w:snapToGrid w:val="0"/>
        <w:spacing w:before="72" w:beforeLines="30" w:after="72" w:afterLines="30" w:line="288" w:lineRule="auto"/>
        <w:jc w:val="center"/>
        <w:rPr>
          <w:rFonts w:eastAsia="宋体"/>
        </w:rPr>
      </w:pPr>
      <w:r>
        <w:rPr>
          <w:rFonts w:hint="eastAsia" w:eastAsia="宋体"/>
        </w:rPr>
        <w:t>Figure 1. Flow chart of assistance information transmission for additional conditions alignment</w:t>
      </w:r>
    </w:p>
    <w:p>
      <w:pPr>
        <w:numPr>
          <w:ilvl w:val="0"/>
          <w:numId w:val="14"/>
        </w:numPr>
        <w:snapToGrid w:val="0"/>
        <w:spacing w:before="72" w:beforeLines="30" w:after="72" w:afterLines="30" w:line="288" w:lineRule="auto"/>
        <w:rPr>
          <w:rFonts w:eastAsia="微软雅黑"/>
        </w:rPr>
      </w:pPr>
      <w:r>
        <w:rPr>
          <w:rFonts w:hint="eastAsia" w:eastAsia="微软雅黑"/>
        </w:rPr>
        <w:t xml:space="preserve">Monitoring of candidate models/functionalities. We assume model-ID based signaling is not applied in this option to avoid repetitive discussion. The model in each functionality is associated with additional conditions (e.g., scenarios, sites, and datasets) as determined between UE-side and NW-side. If there is a mismatch between the current NW-side settings and additional conditions associated with the activated model/functionality, a significant performance degradation may occur. Thus, for the alignment of additional conditions, an assessment/monitoring procedure can be triggered prior to inference to assist the UE-side candidate models/functionalities selection. Specifically, the NW can configure/activate one or multiple functionalities based on conditions associated with UE capability of an AI/ML-enabled Feature/FG. Then, the UE will assess the performance of the configured/activated functionalities prior to inference and report the assessment results based on </w:t>
      </w:r>
      <w:r>
        <w:rPr>
          <w:rFonts w:hint="eastAsia" w:eastAsia="微软雅黑"/>
          <w:lang w:val="en-US" w:eastAsia="zh-CN"/>
        </w:rPr>
        <w:t xml:space="preserve">the </w:t>
      </w:r>
      <w:r>
        <w:rPr>
          <w:rFonts w:hint="eastAsia" w:eastAsia="微软雅黑"/>
        </w:rPr>
        <w:t>dataset collected by the UE/NW and threshold criteria indicated by the NW. In this case, the consistency between training and inference regarding NW-side additional conditions can be ensured if the model/functionality for inference can meet the threshold criteria. The assessment/monitoring of candidate models/functionalities can be viewed as a prerequisite procedure for inference. Since there is no model ID defined, the model assessment can be handled by the UE transparent to the NW. The functionality assessment may reuse mechanisms defined for monitoring of active models/functionalities and thus may or may not have additional spec impacts, which is a separate discussion.</w:t>
      </w:r>
    </w:p>
    <w:p>
      <w:pPr>
        <w:pStyle w:val="30"/>
        <w:spacing w:before="72" w:after="72"/>
        <w:jc w:val="both"/>
      </w:pPr>
      <w:r>
        <w:rPr>
          <w:rFonts w:hint="eastAsia"/>
          <w:lang w:val="en-US"/>
        </w:rPr>
        <w:t>Conclude the different options for the alignment of NW-side additional conditions (if identified) based on the following tables: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5"/>
        <w:gridCol w:w="2821"/>
        <w:gridCol w:w="2955"/>
        <w:gridCol w:w="2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lang w:val="en-GB" w:eastAsia="ko-KR"/>
              </w:rPr>
              <w:t>Approach</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lang w:val="en-GB" w:eastAsia="ko-KR"/>
              </w:rPr>
              <w:t>How NW-side additional conditions are addressed/incorporated for training</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lang w:val="en-GB" w:eastAsia="ko-KR"/>
              </w:rPr>
              <w:t xml:space="preserve">What is done for inference to ensure </w:t>
            </w:r>
            <w:r>
              <w:rPr>
                <w:lang w:eastAsia="ko-KR"/>
              </w:rPr>
              <w:t>consistency between training and inference regarding NW-side additional conditions</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rFonts w:eastAsia="宋体"/>
              </w:rPr>
            </w:pPr>
            <w:r>
              <w:rPr>
                <w:rFonts w:hint="eastAsia" w:eastAsia="宋体"/>
              </w:rPr>
              <w:t>Potential challenges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lang w:val="en-GB" w:eastAsia="ko-KR"/>
              </w:rPr>
              <w:t>Model identification Type A</w:t>
            </w:r>
            <w:r>
              <w:rPr>
                <w:rFonts w:hint="eastAsia" w:eastAsia="微软雅黑"/>
              </w:rPr>
              <w:t>, B1-1, and B1-3</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lang w:val="en-GB" w:eastAsia="ko-KR"/>
              </w:rPr>
              <w:t>Aligned offline</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lang w:val="en-GB" w:eastAsia="ko-KR"/>
              </w:rPr>
              <w:t>Indicated via a model ID</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rFonts w:hint="eastAsia" w:eastAsia="宋体"/>
              </w:rPr>
              <w:t>O</w:t>
            </w:r>
            <w:r>
              <w:rPr>
                <w:rFonts w:hint="eastAsia"/>
                <w:lang w:val="en-GB" w:eastAsia="ko-KR"/>
              </w:rPr>
              <w:t>ffline co-engineering effort, model management complexity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eastAsia="ko-KR"/>
              </w:rPr>
            </w:pPr>
            <w:r>
              <w:rPr>
                <w:lang w:val="en-GB" w:eastAsia="ko-KR"/>
              </w:rPr>
              <w:t xml:space="preserve">Model identification Type </w:t>
            </w:r>
            <w:r>
              <w:rPr>
                <w:rFonts w:hint="eastAsia" w:eastAsia="微软雅黑"/>
              </w:rPr>
              <w:t>B1-4</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rFonts w:eastAsia="宋体"/>
              </w:rPr>
            </w:pPr>
            <w:r>
              <w:rPr>
                <w:rFonts w:eastAsia="Calibri"/>
                <w:lang w:eastAsia="en-US"/>
              </w:rPr>
              <w:t>Aligned by time duration and regions</w:t>
            </w:r>
            <w:r>
              <w:rPr>
                <w:rFonts w:hint="eastAsia" w:eastAsia="宋体"/>
              </w:rPr>
              <w:t xml:space="preserve"> </w:t>
            </w:r>
            <w:r>
              <w:rPr>
                <w:rFonts w:eastAsia="宋体"/>
                <w:lang w:eastAsia="en-US"/>
              </w:rPr>
              <w:t>(e.g., cells/PCIs/TRPs/tracking areas)</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lang w:val="en-GB" w:eastAsia="ko-KR"/>
              </w:rPr>
              <w:t>Indicated via a model ID</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rFonts w:hint="eastAsia" w:eastAsia="宋体"/>
              </w:rPr>
              <w:t>M</w:t>
            </w:r>
            <w:r>
              <w:rPr>
                <w:rFonts w:hint="eastAsia"/>
                <w:lang w:val="en-GB" w:eastAsia="ko-KR"/>
              </w:rPr>
              <w:t>odel management complexity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lang w:val="en-GB" w:eastAsia="ko-KR"/>
              </w:rPr>
              <w:t xml:space="preserve">Model identification Type </w:t>
            </w:r>
            <w:r>
              <w:rPr>
                <w:rFonts w:hint="eastAsia" w:eastAsia="微软雅黑"/>
              </w:rPr>
              <w:t>B2-2</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rFonts w:eastAsia="宋体"/>
              </w:rPr>
            </w:pPr>
            <w:r>
              <w:rPr>
                <w:rFonts w:hint="eastAsia" w:eastAsia="宋体"/>
              </w:rPr>
              <w:t>NW-indicated data collection information for Type B2-2</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lang w:val="en-GB" w:eastAsia="ko-KR"/>
              </w:rPr>
              <w:t>Indicated via a model/dataset ID</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rFonts w:eastAsia="宋体"/>
              </w:rPr>
            </w:pPr>
            <w:r>
              <w:rPr>
                <w:rFonts w:hint="eastAsia" w:eastAsia="宋体"/>
              </w:rPr>
              <w:t>M</w:t>
            </w:r>
            <w:r>
              <w:rPr>
                <w:rFonts w:hint="eastAsia"/>
                <w:lang w:val="en-GB" w:eastAsia="ko-KR"/>
              </w:rPr>
              <w:t>odel management complexity</w:t>
            </w:r>
            <w:r>
              <w:rPr>
                <w:rFonts w:hint="eastAsia" w:eastAsia="宋体"/>
              </w:rPr>
              <w:t>, overhead for dataset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lang w:val="en-GB" w:eastAsia="ko-KR"/>
              </w:rPr>
              <w:t xml:space="preserve">Model identification Type </w:t>
            </w:r>
            <w:r>
              <w:rPr>
                <w:rFonts w:hint="eastAsia" w:eastAsia="微软雅黑"/>
              </w:rPr>
              <w:t>B1-2</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rFonts w:eastAsia="Calibri"/>
                <w:color w:val="984807" w:themeColor="accent6" w:themeShade="80"/>
                <w:lang w:eastAsia="en-US"/>
              </w:rPr>
            </w:pPr>
            <w:r>
              <w:rPr>
                <w:lang w:val="en-GB" w:eastAsia="ko-KR"/>
              </w:rPr>
              <w:t xml:space="preserve">Provided to UE for dataset categorization via assistance information (e.g., in the form of </w:t>
            </w:r>
            <w:r>
              <w:rPr>
                <w:rFonts w:hint="eastAsia" w:eastAsia="宋体"/>
              </w:rPr>
              <w:t>ID</w:t>
            </w:r>
            <w:r>
              <w:rPr>
                <w:rFonts w:eastAsia="宋体"/>
              </w:rPr>
              <w:t>)</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lang w:val="en-GB" w:eastAsia="ko-KR"/>
              </w:rPr>
              <w:t>Indicated via a model ID</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rFonts w:hint="eastAsia" w:eastAsia="宋体"/>
              </w:rPr>
              <w:t>F</w:t>
            </w:r>
            <w:r>
              <w:rPr>
                <w:rFonts w:hint="eastAsia"/>
                <w:lang w:val="en-GB" w:eastAsia="ko-KR"/>
              </w:rPr>
              <w:t xml:space="preserve">easibility issues </w:t>
            </w:r>
            <w:r>
              <w:rPr>
                <w:rFonts w:hint="eastAsia" w:eastAsia="宋体"/>
              </w:rPr>
              <w:t xml:space="preserve">and standardization efforts </w:t>
            </w:r>
            <w:r>
              <w:rPr>
                <w:rFonts w:hint="eastAsia"/>
                <w:lang w:val="en-GB" w:eastAsia="ko-KR"/>
              </w:rPr>
              <w:t>for dataset categorization in the form of ID, model management complexity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rFonts w:eastAsia="宋体"/>
              </w:rPr>
            </w:pPr>
            <w:r>
              <w:rPr>
                <w:lang w:val="en-GB" w:eastAsia="ko-KR"/>
              </w:rPr>
              <w:t>Model transfer</w:t>
            </w:r>
            <w:r>
              <w:rPr>
                <w:rFonts w:hint="eastAsia" w:eastAsia="宋体"/>
              </w:rPr>
              <w:t xml:space="preserve"> in model identification Type B2-1</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rFonts w:eastAsia="宋体"/>
              </w:rPr>
            </w:pPr>
            <w:r>
              <w:rPr>
                <w:lang w:val="en-GB" w:eastAsia="ko-KR"/>
              </w:rPr>
              <w:t>Model is trained under the additional condition</w:t>
            </w:r>
            <w:r>
              <w:rPr>
                <w:rFonts w:hint="eastAsia" w:eastAsia="宋体"/>
              </w:rPr>
              <w:t>s</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lang w:val="en-GB" w:eastAsia="ko-KR"/>
              </w:rPr>
              <w:t>Model is transferred to UE to be used for inference</w:t>
            </w:r>
          </w:p>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lang w:val="en-GB" w:eastAsia="ko-KR"/>
              </w:rPr>
              <w:t>Indicated via a model ID</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rFonts w:hint="eastAsia" w:eastAsia="宋体"/>
              </w:rPr>
              <w:t>F</w:t>
            </w:r>
            <w:r>
              <w:rPr>
                <w:rFonts w:hint="eastAsia"/>
                <w:lang w:val="en-GB" w:eastAsia="ko-KR"/>
              </w:rPr>
              <w:t xml:space="preserve">easibility issues </w:t>
            </w:r>
            <w:r>
              <w:rPr>
                <w:rFonts w:hint="eastAsia" w:eastAsia="宋体"/>
              </w:rPr>
              <w:t xml:space="preserve">and standardization efforts </w:t>
            </w:r>
            <w:r>
              <w:rPr>
                <w:rFonts w:hint="eastAsia"/>
                <w:lang w:val="en-GB" w:eastAsia="ko-KR"/>
              </w:rPr>
              <w:t>for model transfer,</w:t>
            </w:r>
            <w:r>
              <w:rPr>
                <w:rFonts w:hint="eastAsia" w:eastAsia="宋体"/>
              </w:rPr>
              <w:t xml:space="preserve"> </w:t>
            </w:r>
            <w:r>
              <w:rPr>
                <w:rFonts w:hint="eastAsia"/>
                <w:lang w:val="en-GB" w:eastAsia="ko-KR"/>
              </w:rPr>
              <w:t>model management complexity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rFonts w:eastAsia="宋体"/>
              </w:rPr>
            </w:pPr>
            <w:r>
              <w:rPr>
                <w:lang w:val="en-GB" w:eastAsia="ko-KR"/>
              </w:rPr>
              <w:t>Assistance information</w:t>
            </w:r>
            <w:r>
              <w:rPr>
                <w:rFonts w:hint="eastAsia" w:eastAsia="宋体"/>
              </w:rPr>
              <w:t xml:space="preserve"> transmission</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rFonts w:eastAsia="宋体"/>
              </w:rPr>
            </w:pPr>
            <w:r>
              <w:rPr>
                <w:lang w:val="en-GB" w:eastAsia="ko-KR"/>
              </w:rPr>
              <w:t xml:space="preserve">Provided to UE for dataset categorization via assistance information (e.g., in the form of </w:t>
            </w:r>
            <w:r>
              <w:rPr>
                <w:rFonts w:hint="eastAsia" w:eastAsia="宋体"/>
              </w:rPr>
              <w:t>ID</w:t>
            </w:r>
            <w:r>
              <w:rPr>
                <w:rFonts w:eastAsia="宋体"/>
              </w:rPr>
              <w:t xml:space="preserve">) </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rFonts w:eastAsia="宋体"/>
              </w:rPr>
            </w:pPr>
            <w:r>
              <w:rPr>
                <w:lang w:val="en-GB" w:eastAsia="ko-KR"/>
              </w:rPr>
              <w:t xml:space="preserve">Provided to UE for (transparent) model selection in the form of </w:t>
            </w:r>
            <w:r>
              <w:rPr>
                <w:rFonts w:hint="eastAsia" w:eastAsia="宋体"/>
              </w:rPr>
              <w:t>ID</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rFonts w:eastAsia="宋体"/>
              </w:rPr>
            </w:pPr>
            <w:r>
              <w:rPr>
                <w:rFonts w:hint="eastAsia" w:eastAsia="宋体"/>
              </w:rPr>
              <w:t>F</w:t>
            </w:r>
            <w:r>
              <w:rPr>
                <w:rFonts w:hint="eastAsia"/>
                <w:lang w:val="en-GB" w:eastAsia="ko-KR"/>
              </w:rPr>
              <w:t xml:space="preserve">easibility issues </w:t>
            </w:r>
            <w:r>
              <w:rPr>
                <w:rFonts w:hint="eastAsia" w:eastAsia="宋体"/>
              </w:rPr>
              <w:t xml:space="preserve">and standardization efforts </w:t>
            </w:r>
            <w:r>
              <w:rPr>
                <w:rFonts w:hint="eastAsia"/>
                <w:lang w:val="en-GB" w:eastAsia="ko-KR"/>
              </w:rPr>
              <w:t>for dataset categorization in the form of ID,</w:t>
            </w:r>
            <w:r>
              <w:rPr>
                <w:rFonts w:hint="eastAsia" w:eastAsia="宋体"/>
              </w:rPr>
              <w:t xml:space="preserve"> overhead for a</w:t>
            </w:r>
            <w:r>
              <w:rPr>
                <w:lang w:val="en-GB" w:eastAsia="ko-KR"/>
              </w:rPr>
              <w:t>ssistance information</w:t>
            </w:r>
            <w:r>
              <w:rPr>
                <w:rFonts w:hint="eastAsia" w:eastAsia="宋体"/>
              </w:rPr>
              <w:t xml:space="preserve">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rFonts w:eastAsia="Calibri"/>
                <w:lang w:val="en-GB" w:eastAsia="en-US"/>
              </w:rPr>
              <w:t>Consistency assisted by monitoring</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rFonts w:eastAsia="宋体"/>
              </w:rPr>
            </w:pPr>
            <w:r>
              <w:rPr>
                <w:rFonts w:hint="eastAsia" w:eastAsia="宋体"/>
              </w:rPr>
              <w:t>N/A</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rFonts w:eastAsia="宋体"/>
              </w:rPr>
            </w:pPr>
            <w:r>
              <w:rPr>
                <w:rFonts w:hint="eastAsia" w:eastAsia="宋体"/>
              </w:rPr>
              <w:t>Assessment/monitoring of UE-side candidate models/functionalities</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rFonts w:hint="eastAsia" w:eastAsia="宋体"/>
              </w:rPr>
              <w:t>N/A</w:t>
            </w:r>
          </w:p>
        </w:tc>
      </w:tr>
    </w:tbl>
    <w:p>
      <w:pPr>
        <w:pStyle w:val="30"/>
        <w:spacing w:before="72" w:after="72"/>
        <w:jc w:val="both"/>
        <w:rPr>
          <w:lang w:val="en-US"/>
        </w:rPr>
      </w:pPr>
      <w:r>
        <w:rPr>
          <w:rFonts w:hint="eastAsia"/>
          <w:lang w:val="en-US"/>
        </w:rPr>
        <w:t>Prioritize that consistency between training and inference regarding NW-side additional conditions (if identified) can be ensured by monitoring the performance of UE-side candidate models/functionalities to select a model/functionality.</w:t>
      </w:r>
    </w:p>
    <w:p>
      <w:pPr>
        <w:spacing w:before="120" w:after="120"/>
        <w:rPr>
          <w:color w:val="984807" w:themeColor="accent6" w:themeShade="80"/>
        </w:rPr>
      </w:pPr>
    </w:p>
    <w:p>
      <w:pPr>
        <w:pStyle w:val="3"/>
      </w:pPr>
      <w:r>
        <w:rPr>
          <w:rFonts w:hint="eastAsia"/>
        </w:rPr>
        <w:t>Applicability of LCM methods</w:t>
      </w:r>
    </w:p>
    <w:p>
      <w:pPr>
        <w:snapToGrid w:val="0"/>
        <w:spacing w:before="72" w:beforeLines="30" w:after="72" w:afterLines="30" w:line="288" w:lineRule="auto"/>
        <w:rPr>
          <w:rFonts w:eastAsia="微软雅黑"/>
        </w:rPr>
      </w:pPr>
      <w:r>
        <w:rPr>
          <w:rFonts w:hint="eastAsia" w:eastAsia="微软雅黑"/>
        </w:rPr>
        <w:t>In RAN1#114bis meeting, the benefits of model identification and model-ID based signaling were discussed and a proposal was suggested as follows. The main controversy is whether the alignment of NW-side additional conditions between NW and UE is one of the benefits provided by model level management.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spacing w:before="72" w:beforeLines="30" w:after="72" w:afterLines="30" w:line="288" w:lineRule="auto"/>
              <w:rPr>
                <w:rFonts w:eastAsia="等线"/>
                <w:b/>
                <w:bCs/>
                <w:u w:val="single"/>
              </w:rPr>
            </w:pPr>
            <w:r>
              <w:rPr>
                <w:rFonts w:eastAsia="等线"/>
                <w:b/>
                <w:bCs/>
                <w:u w:val="single"/>
              </w:rPr>
              <w:t>Proposal</w:t>
            </w:r>
            <w:r>
              <w:rPr>
                <w:rFonts w:hint="eastAsia" w:eastAsia="等线"/>
                <w:b/>
                <w:bCs/>
                <w:u w:val="single"/>
              </w:rPr>
              <w:t xml:space="preserve"> (RAN1#114bis):</w:t>
            </w:r>
          </w:p>
          <w:p>
            <w:pPr>
              <w:widowControl/>
              <w:numPr>
                <w:ilvl w:val="0"/>
                <w:numId w:val="15"/>
              </w:numPr>
              <w:spacing w:beforeLines="0" w:afterLines="0" w:line="360" w:lineRule="auto"/>
              <w:ind w:hanging="363"/>
              <w:rPr>
                <w:rFonts w:eastAsia="宋体"/>
                <w:lang w:eastAsia="ko-KR"/>
              </w:rPr>
            </w:pPr>
            <w:r>
              <w:rPr>
                <w:rFonts w:eastAsia="宋体"/>
                <w:lang w:eastAsia="en-US"/>
              </w:rPr>
              <w:t>Model identification and model-ID based signaling in a Functionality provides model-level management by NW of UE-side and UE-part of two-sided models, which may provide benefits at least in the following scenarios:</w:t>
            </w:r>
          </w:p>
          <w:p>
            <w:pPr>
              <w:widowControl/>
              <w:numPr>
                <w:ilvl w:val="1"/>
                <w:numId w:val="15"/>
              </w:numPr>
              <w:spacing w:beforeLines="0" w:afterLines="0" w:line="360" w:lineRule="auto"/>
              <w:ind w:hanging="363"/>
              <w:rPr>
                <w:rFonts w:eastAsia="宋体"/>
                <w:lang w:eastAsia="en-US"/>
              </w:rPr>
            </w:pPr>
            <w:r>
              <w:rPr>
                <w:rFonts w:eastAsia="宋体"/>
                <w:lang w:eastAsia="en-US"/>
              </w:rPr>
              <w:t>UE side models with model transfer</w:t>
            </w:r>
          </w:p>
          <w:p>
            <w:pPr>
              <w:widowControl/>
              <w:numPr>
                <w:ilvl w:val="1"/>
                <w:numId w:val="15"/>
              </w:numPr>
              <w:spacing w:beforeLines="0" w:afterLines="0" w:line="360" w:lineRule="auto"/>
              <w:ind w:hanging="363"/>
            </w:pPr>
            <w:r>
              <w:rPr>
                <w:rFonts w:eastAsia="宋体"/>
                <w:lang w:eastAsia="en-US"/>
              </w:rPr>
              <w:t>Pairing of two-sided models</w:t>
            </w:r>
          </w:p>
          <w:p>
            <w:pPr>
              <w:widowControl/>
              <w:numPr>
                <w:ilvl w:val="1"/>
                <w:numId w:val="15"/>
              </w:numPr>
              <w:spacing w:beforeLines="0" w:afterLines="0" w:line="360" w:lineRule="auto"/>
              <w:ind w:hanging="363"/>
            </w:pPr>
            <w:r>
              <w:rPr>
                <w:rFonts w:eastAsia="宋体"/>
                <w:lang w:eastAsia="en-US"/>
              </w:rPr>
              <w:t>[For aligned understanding between UE and NW on the NW-side additional conditions (e.g., scenario/configuration/site/dataset) at UE for scenario/configuration/site/dataset-specific AI/ML operations.]</w:t>
            </w:r>
            <w:r>
              <w:rPr>
                <w:rFonts w:hint="eastAsia" w:eastAsia="宋体"/>
              </w:rPr>
              <w:t xml:space="preserve"> </w:t>
            </w:r>
          </w:p>
        </w:tc>
      </w:tr>
    </w:tbl>
    <w:p>
      <w:pPr>
        <w:snapToGrid w:val="0"/>
        <w:spacing w:before="72" w:beforeLines="30" w:after="72" w:afterLines="30" w:line="288" w:lineRule="auto"/>
        <w:rPr>
          <w:rFonts w:eastAsia="微软雅黑"/>
        </w:rPr>
      </w:pPr>
      <w:r>
        <w:rPr>
          <w:rFonts w:hint="eastAsia" w:eastAsia="微软雅黑"/>
        </w:rPr>
        <w:t xml:space="preserve">As far as we are concerned, we shall first address the feasibility and necessity of the listed three </w:t>
      </w:r>
      <w:r>
        <w:rPr>
          <w:rFonts w:eastAsia="微软雅黑"/>
          <w:lang w:eastAsia="en-US"/>
        </w:rPr>
        <w:t>scenarios</w:t>
      </w:r>
      <w:r>
        <w:rPr>
          <w:rFonts w:hint="eastAsia" w:eastAsia="微软雅黑"/>
        </w:rPr>
        <w:t xml:space="preserve"> before touching upon the benefit issues. If one or some of the listed scenarios are assessed to be feasible and necessary, we can then determine whether the model identification and model-ID based signaling are beneficial for the corresponding scenarios.</w:t>
      </w:r>
    </w:p>
    <w:p>
      <w:pPr>
        <w:numPr>
          <w:ilvl w:val="0"/>
          <w:numId w:val="14"/>
        </w:numPr>
        <w:snapToGrid w:val="0"/>
        <w:spacing w:before="72" w:beforeLines="30" w:after="72" w:afterLines="30" w:line="288" w:lineRule="auto"/>
        <w:rPr>
          <w:rFonts w:eastAsia="微软雅黑"/>
        </w:rPr>
      </w:pPr>
      <w:r>
        <w:rPr>
          <w:rFonts w:hint="eastAsia" w:eastAsia="微软雅黑"/>
        </w:rPr>
        <w:t>The necessity of UE side models with model transfer. We shall differentiate one-sided model and two-sided model when discussing the necessity of model transfer. For one-sided model, although model trained by the NW side can be delivered/transferred to the UE side to achieve alignment on NW additional conditions (if identified), there would be potential mismatch issues on the UE-side software/hardware environment and mobility characteristics. For two-sided model, model delivery/transfer is normally needed for the Type 1 training of CSI compression use case. However, for other training types (simultaneous and sequential training in Type 2, separate training in Type 3, etc.), model transfer is not needed.</w:t>
      </w:r>
    </w:p>
    <w:p>
      <w:pPr>
        <w:numPr>
          <w:ilvl w:val="0"/>
          <w:numId w:val="14"/>
        </w:numPr>
        <w:snapToGrid w:val="0"/>
        <w:spacing w:before="72" w:beforeLines="30" w:after="72" w:afterLines="30" w:line="288" w:lineRule="auto"/>
        <w:rPr>
          <w:rFonts w:eastAsia="微软雅黑"/>
        </w:rPr>
      </w:pPr>
      <w:r>
        <w:rPr>
          <w:rFonts w:hint="eastAsia" w:eastAsia="微软雅黑"/>
        </w:rPr>
        <w:t>The necessity of pairing of two-sided model. As discussed in the CSI compression using two-sided model use case, the pairing information is needed to enable the UE to select a CSI generation model(s) that is compatible with the CSI reconstruction model(s) used by the gNB, which depends on the specific training type and may be in the forms of model ID, dataset ID, training session ID or up to UE/NW offline co-engineering alignment and transparent to 3GPP specification. Thus, pairing of two-sided models is needed if CSI compression using two-sided model use case is selected as a representative use case.</w:t>
      </w:r>
    </w:p>
    <w:p>
      <w:pPr>
        <w:numPr>
          <w:ilvl w:val="0"/>
          <w:numId w:val="14"/>
        </w:numPr>
        <w:snapToGrid w:val="0"/>
        <w:spacing w:before="72" w:beforeLines="30" w:after="72" w:afterLines="30" w:line="288" w:lineRule="auto"/>
        <w:rPr>
          <w:rFonts w:eastAsia="微软雅黑"/>
        </w:rPr>
      </w:pPr>
      <w:r>
        <w:rPr>
          <w:rFonts w:hint="eastAsia" w:eastAsia="微软雅黑"/>
        </w:rPr>
        <w:t xml:space="preserve">The necessity of aligned understanding between UE and NW on the NW-side additional conditions (e.g., scenario/configuration/site/dataset) at UE. Although the alignment on the NW-side additional conditions maybe beneficial from performance perspective based on simulation results </w:t>
      </w:r>
      <w:r>
        <w:rPr>
          <w:rFonts w:hint="eastAsia" w:eastAsia="微软雅黑"/>
          <w:lang w:val="en-US" w:eastAsia="zh-CN"/>
        </w:rPr>
        <w:t>of</w:t>
      </w:r>
      <w:r>
        <w:rPr>
          <w:rFonts w:hint="eastAsia" w:eastAsia="微软雅黑"/>
        </w:rPr>
        <w:t xml:space="preserve"> model generalization, it may involve proprietary information disclosure issues and bring potentially huge specification or co-engineering effort. Besides, all discussions about NW-side additional conditions are all conceptual and no agreement on that at the current stage. Thus, the aligned understanding between UE and NW on the NW-side additional conditions may not be needed and shall be further discussed per use case.</w:t>
      </w:r>
    </w:p>
    <w:p>
      <w:pPr>
        <w:snapToGrid w:val="0"/>
        <w:spacing w:before="72" w:beforeLines="30" w:after="72" w:afterLines="30" w:line="288" w:lineRule="auto"/>
        <w:rPr>
          <w:rFonts w:eastAsia="微软雅黑"/>
        </w:rPr>
      </w:pPr>
      <w:r>
        <w:rPr>
          <w:rFonts w:hint="eastAsia" w:eastAsia="微软雅黑"/>
        </w:rPr>
        <w:t>In conclusion, some of the scenarios listed in the proposal may not be applicable. Even for the scenario assessed to be applicable, there could be other approaches to facilitate the corresponding management rather than model identification and model-ID based signaling. For example, as discussed in the above agreement, aligned understanding between UE and NW on the NW-side additional conditions (if identified) can be ensured by monitoring of UE-side candidate models/functionalities and no model ID based signaling is needed. Thus, according to the above analysis, we have the following revision for the proposal suggested in RAN1#114bis.</w:t>
      </w:r>
    </w:p>
    <w:p>
      <w:pPr>
        <w:pStyle w:val="30"/>
        <w:spacing w:before="72" w:after="72"/>
        <w:jc w:val="both"/>
        <w:rPr>
          <w:lang w:val="en-US"/>
        </w:rPr>
      </w:pPr>
      <w:r>
        <w:rPr>
          <w:lang w:val="en-US" w:eastAsia="en-US"/>
        </w:rPr>
        <w:t xml:space="preserve">Model identification and model-ID based signaling in a Functionality provides model-level management by NW of UE-side and UE-part of two-sided models, which may </w:t>
      </w:r>
      <w:r>
        <w:rPr>
          <w:rFonts w:hint="eastAsia"/>
          <w:lang w:val="en-US"/>
        </w:rPr>
        <w:t xml:space="preserve">provide benefits </w:t>
      </w:r>
      <w:r>
        <w:rPr>
          <w:lang w:val="en-US" w:eastAsia="en-US"/>
        </w:rPr>
        <w:t>at least in the following scenarios:</w:t>
      </w:r>
      <w:r>
        <w:rPr>
          <w:rFonts w:hint="eastAsia"/>
          <w:lang w:val="en-US"/>
        </w:rPr>
        <w:t xml:space="preserve"> </w:t>
      </w:r>
      <w:r>
        <w:rPr>
          <w:lang w:val="en-US" w:eastAsia="en-US"/>
        </w:rPr>
        <w:t>UE side models with model transfer</w:t>
      </w:r>
      <w:r>
        <w:rPr>
          <w:rFonts w:hint="eastAsia"/>
          <w:lang w:val="en-US"/>
        </w:rPr>
        <w:t xml:space="preserve"> (if needed), p</w:t>
      </w:r>
      <w:r>
        <w:rPr>
          <w:lang w:val="en-US" w:eastAsia="en-US"/>
        </w:rPr>
        <w:t>airing of two-sided models</w:t>
      </w:r>
      <w:r>
        <w:rPr>
          <w:rFonts w:hint="eastAsia"/>
          <w:lang w:val="en-US"/>
        </w:rPr>
        <w:t>.</w:t>
      </w:r>
    </w:p>
    <w:p>
      <w:pPr>
        <w:pStyle w:val="33"/>
        <w:rPr>
          <w:lang w:val="en-US"/>
        </w:rPr>
      </w:pPr>
      <w:r>
        <w:rPr>
          <w:rFonts w:hint="eastAsia"/>
          <w:lang w:val="en-US" w:eastAsia="zh-CN"/>
        </w:rPr>
        <w:t>Note: Other approaches to achieve model transfer and pairing of two-sided models are not precluded</w:t>
      </w:r>
      <w:r>
        <w:rPr>
          <w:rFonts w:hint="eastAsia"/>
        </w:rPr>
        <w:t>.</w:t>
      </w:r>
    </w:p>
    <w:p>
      <w:pPr>
        <w:spacing w:before="120" w:after="120"/>
      </w:pPr>
    </w:p>
    <w:p>
      <w:pPr>
        <w:pStyle w:val="3"/>
      </w:pPr>
      <w:r>
        <w:rPr>
          <w:rFonts w:hint="eastAsia"/>
        </w:rPr>
        <w:t>Functionality identification process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spacing w:before="72" w:beforeLines="30" w:after="72" w:afterLines="30" w:line="288" w:lineRule="auto"/>
              <w:rPr>
                <w:b/>
                <w:bCs/>
                <w:u w:val="single"/>
              </w:rPr>
            </w:pPr>
            <w:r>
              <w:rPr>
                <w:b/>
                <w:bCs/>
                <w:u w:val="single"/>
              </w:rPr>
              <w:t>Agreement</w:t>
            </w:r>
            <w:r>
              <w:rPr>
                <w:rFonts w:hint="eastAsia" w:eastAsia="宋体"/>
                <w:b/>
                <w:bCs/>
                <w:u w:val="single"/>
              </w:rPr>
              <w:t xml:space="preserve"> (</w:t>
            </w:r>
            <w:r>
              <w:rPr>
                <w:b/>
                <w:bCs/>
                <w:u w:val="single"/>
              </w:rPr>
              <w:t>RAN1#112bis-e</w:t>
            </w:r>
            <w:r>
              <w:rPr>
                <w:rFonts w:hint="eastAsia" w:eastAsia="宋体"/>
                <w:b/>
                <w:bCs/>
                <w:u w:val="single"/>
              </w:rPr>
              <w:t>)</w:t>
            </w:r>
            <w:r>
              <w:rPr>
                <w:b/>
                <w:bCs/>
                <w:u w:val="single"/>
              </w:rPr>
              <w:t>:</w:t>
            </w:r>
          </w:p>
          <w:p>
            <w:pPr>
              <w:widowControl/>
              <w:numPr>
                <w:ilvl w:val="0"/>
                <w:numId w:val="16"/>
              </w:numPr>
              <w:spacing w:before="72" w:beforeLines="30" w:after="72" w:afterLines="30" w:line="288" w:lineRule="auto"/>
            </w:pPr>
            <w:r>
              <w:t>For AI/ML functionality identification and functionality-based LCM of UE-side models and/or UE-part of two-sided models:</w:t>
            </w:r>
          </w:p>
          <w:p>
            <w:pPr>
              <w:pStyle w:val="38"/>
              <w:widowControl/>
              <w:numPr>
                <w:ilvl w:val="1"/>
                <w:numId w:val="17"/>
              </w:numPr>
              <w:spacing w:before="72" w:beforeLines="30" w:after="72" w:afterLines="30" w:line="288" w:lineRule="auto"/>
              <w:ind w:left="1240"/>
              <w:rPr>
                <w:sz w:val="20"/>
                <w:szCs w:val="20"/>
              </w:rPr>
            </w:pPr>
            <w:r>
              <w:rPr>
                <w:sz w:val="20"/>
                <w:szCs w:val="20"/>
              </w:rPr>
              <w:t>Functionality refers to</w:t>
            </w:r>
            <w:r>
              <w:rPr>
                <w:rFonts w:eastAsia="MS Mincho"/>
                <w:sz w:val="20"/>
                <w:szCs w:val="20"/>
                <w:lang w:eastAsia="ja-JP"/>
              </w:rPr>
              <w:t xml:space="preserve"> an AI/ML-enabled Feature/FG enabled by configuration(s), where configuration(s) is(are) supported based on conditions indicated by UE capability.</w:t>
            </w:r>
          </w:p>
          <w:p>
            <w:pPr>
              <w:pStyle w:val="38"/>
              <w:widowControl/>
              <w:numPr>
                <w:ilvl w:val="1"/>
                <w:numId w:val="17"/>
              </w:numPr>
              <w:spacing w:before="72" w:beforeLines="30" w:after="72" w:afterLines="30" w:line="288" w:lineRule="auto"/>
              <w:ind w:left="1240"/>
              <w:rPr>
                <w:rFonts w:eastAsia="MS Mincho"/>
                <w:sz w:val="20"/>
                <w:szCs w:val="20"/>
                <w:lang w:eastAsia="ja-JP"/>
              </w:rPr>
            </w:pPr>
            <w:r>
              <w:rPr>
                <w:sz w:val="20"/>
                <w:szCs w:val="20"/>
              </w:rPr>
              <w:t>Correspo</w:t>
            </w:r>
            <w:r>
              <w:rPr>
                <w:rFonts w:eastAsia="MS Mincho"/>
                <w:sz w:val="20"/>
                <w:szCs w:val="20"/>
                <w:lang w:eastAsia="ja-JP"/>
              </w:rPr>
              <w:t>ndingly, functionality-based LCM operates based on, at least, one configuration of AI/ML-enabled Feature/FG or specific configurations of an AI/ML-enabled Feature/FG.</w:t>
            </w:r>
          </w:p>
          <w:p>
            <w:pPr>
              <w:pStyle w:val="38"/>
              <w:widowControl/>
              <w:numPr>
                <w:ilvl w:val="2"/>
                <w:numId w:val="17"/>
              </w:numPr>
              <w:spacing w:before="72" w:beforeLines="30" w:after="72" w:afterLines="30" w:line="288" w:lineRule="auto"/>
              <w:ind w:left="1060"/>
              <w:rPr>
                <w:rFonts w:eastAsia="MS Mincho"/>
                <w:sz w:val="20"/>
                <w:szCs w:val="20"/>
                <w:lang w:eastAsia="ja-JP"/>
              </w:rPr>
            </w:pPr>
            <w:r>
              <w:rPr>
                <w:rFonts w:eastAsia="MS Mincho"/>
                <w:sz w:val="20"/>
                <w:szCs w:val="20"/>
                <w:lang w:eastAsia="ja-JP"/>
              </w:rPr>
              <w:t>FFS: Signaling to support functionality-based LCM operations, e.g., to activate/deactivate/fallback/switch AI/ML functionalities</w:t>
            </w:r>
          </w:p>
          <w:p>
            <w:pPr>
              <w:pStyle w:val="38"/>
              <w:widowControl/>
              <w:numPr>
                <w:ilvl w:val="2"/>
                <w:numId w:val="17"/>
              </w:numPr>
              <w:spacing w:before="72" w:beforeLines="30" w:after="72" w:afterLines="30" w:line="288" w:lineRule="auto"/>
              <w:ind w:left="1060"/>
              <w:rPr>
                <w:sz w:val="20"/>
                <w:szCs w:val="20"/>
              </w:rPr>
            </w:pPr>
            <w:r>
              <w:rPr>
                <w:rFonts w:eastAsia="MS Mincho"/>
                <w:sz w:val="20"/>
                <w:szCs w:val="20"/>
                <w:lang w:eastAsia="ja-JP"/>
              </w:rPr>
              <w:t>FFS: Whether/how to address</w:t>
            </w:r>
            <w:r>
              <w:rPr>
                <w:rFonts w:hint="eastAsia" w:eastAsia="宋体"/>
                <w:sz w:val="20"/>
                <w:szCs w:val="20"/>
              </w:rPr>
              <w:t xml:space="preserve"> </w:t>
            </w:r>
            <w:r>
              <w:rPr>
                <w:rFonts w:eastAsia="MS Mincho"/>
                <w:sz w:val="20"/>
                <w:szCs w:val="20"/>
                <w:lang w:eastAsia="ja-JP"/>
              </w:rPr>
              <w:t>conditions (e.g., scenarios, sites, and datasets) to aid UE-side transparent model operat</w:t>
            </w:r>
            <w:r>
              <w:rPr>
                <w:sz w:val="20"/>
                <w:szCs w:val="20"/>
              </w:rPr>
              <w:t>ions (without model identification) at the Functionality level</w:t>
            </w:r>
          </w:p>
          <w:p>
            <w:pPr>
              <w:pStyle w:val="38"/>
              <w:widowControl/>
              <w:numPr>
                <w:ilvl w:val="2"/>
                <w:numId w:val="17"/>
              </w:numPr>
              <w:spacing w:before="72" w:beforeLines="30" w:after="72" w:afterLines="30" w:line="288" w:lineRule="auto"/>
              <w:ind w:left="1060"/>
              <w:rPr>
                <w:sz w:val="20"/>
                <w:szCs w:val="20"/>
              </w:rPr>
            </w:pPr>
            <w:r>
              <w:rPr>
                <w:rFonts w:eastAsia="MS Mincho"/>
                <w:sz w:val="20"/>
                <w:szCs w:val="20"/>
                <w:lang w:eastAsia="ja-JP"/>
              </w:rPr>
              <w:t>FFS: Other aspects that may constitute Functionality</w:t>
            </w:r>
          </w:p>
          <w:p>
            <w:pPr>
              <w:pStyle w:val="38"/>
              <w:widowControl/>
              <w:numPr>
                <w:ilvl w:val="1"/>
                <w:numId w:val="17"/>
              </w:numPr>
              <w:spacing w:before="72" w:beforeLines="30" w:after="72" w:afterLines="30" w:line="288" w:lineRule="auto"/>
              <w:ind w:left="1240"/>
              <w:rPr>
                <w:sz w:val="20"/>
                <w:szCs w:val="20"/>
              </w:rPr>
            </w:pPr>
            <w:r>
              <w:rPr>
                <w:sz w:val="20"/>
                <w:szCs w:val="20"/>
              </w:rPr>
              <w:t>FFS: which aspects should be specified as conditions of a Feature/FG available for functionality will be discussed in each sub-use-case agenda.</w:t>
            </w:r>
          </w:p>
          <w:p>
            <w:pPr>
              <w:widowControl/>
              <w:numPr>
                <w:ilvl w:val="0"/>
                <w:numId w:val="16"/>
              </w:numPr>
              <w:spacing w:before="72" w:beforeLines="30" w:after="72" w:afterLines="30" w:line="288" w:lineRule="auto"/>
              <w:rPr>
                <w:rFonts w:eastAsia="宋体"/>
              </w:rPr>
            </w:pPr>
            <w:r>
              <w:t>For AI/ML model identification and model-ID-based LCM of UE-side models and/or UE-part of two-sided models:</w:t>
            </w:r>
          </w:p>
          <w:p>
            <w:pPr>
              <w:pStyle w:val="38"/>
              <w:widowControl/>
              <w:numPr>
                <w:ilvl w:val="1"/>
                <w:numId w:val="17"/>
              </w:numPr>
              <w:spacing w:before="72" w:beforeLines="30" w:after="72" w:afterLines="30" w:line="288" w:lineRule="auto"/>
              <w:ind w:left="1240"/>
              <w:rPr>
                <w:sz w:val="20"/>
                <w:szCs w:val="20"/>
              </w:rPr>
            </w:pPr>
            <w:r>
              <w:rPr>
                <w:sz w:val="20"/>
                <w:szCs w:val="20"/>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pPr>
              <w:pStyle w:val="38"/>
              <w:widowControl/>
              <w:numPr>
                <w:ilvl w:val="1"/>
                <w:numId w:val="17"/>
              </w:numPr>
              <w:spacing w:before="72" w:beforeLines="30" w:after="72" w:afterLines="30" w:line="288" w:lineRule="auto"/>
              <w:ind w:left="1240"/>
              <w:rPr>
                <w:sz w:val="20"/>
                <w:szCs w:val="20"/>
              </w:rPr>
            </w:pPr>
            <w:r>
              <w:rPr>
                <w:sz w:val="20"/>
                <w:szCs w:val="20"/>
              </w:rPr>
              <w:t>FFS: Which aspects should be considered as additional conditions, and how to include them into model description information during model identification will be discussed in each sub-use-case agenda.</w:t>
            </w:r>
          </w:p>
          <w:p>
            <w:pPr>
              <w:pStyle w:val="38"/>
              <w:widowControl/>
              <w:numPr>
                <w:ilvl w:val="1"/>
                <w:numId w:val="17"/>
              </w:numPr>
              <w:spacing w:before="72" w:beforeLines="30" w:after="72" w:afterLines="30" w:line="288" w:lineRule="auto"/>
              <w:ind w:left="1240"/>
              <w:rPr>
                <w:sz w:val="20"/>
                <w:szCs w:val="20"/>
              </w:rPr>
            </w:pPr>
            <w:r>
              <w:rPr>
                <w:sz w:val="20"/>
                <w:szCs w:val="20"/>
              </w:rPr>
              <w:t>FFS: Relationship between functionality and model, e.g., whether a model may be identified referring to functionality(s).</w:t>
            </w:r>
          </w:p>
          <w:p>
            <w:pPr>
              <w:pStyle w:val="38"/>
              <w:widowControl/>
              <w:numPr>
                <w:ilvl w:val="1"/>
                <w:numId w:val="17"/>
              </w:numPr>
              <w:spacing w:before="72" w:beforeLines="30" w:after="72" w:afterLines="30" w:line="288" w:lineRule="auto"/>
              <w:ind w:left="1240"/>
              <w:rPr>
                <w:sz w:val="20"/>
                <w:szCs w:val="20"/>
              </w:rPr>
            </w:pPr>
            <w:r>
              <w:rPr>
                <w:sz w:val="20"/>
                <w:szCs w:val="20"/>
              </w:rPr>
              <w:t>FFS: relationship between functionality-based LCM and model-ID-based LCM</w:t>
            </w:r>
          </w:p>
          <w:p>
            <w:pPr>
              <w:pStyle w:val="38"/>
              <w:widowControl/>
              <w:numPr>
                <w:ilvl w:val="0"/>
                <w:numId w:val="17"/>
              </w:numPr>
              <w:spacing w:before="72" w:beforeLines="30" w:after="72" w:afterLines="30" w:line="288" w:lineRule="auto"/>
              <w:ind w:left="880"/>
              <w:rPr>
                <w:sz w:val="20"/>
                <w:szCs w:val="20"/>
              </w:rPr>
            </w:pPr>
            <w:r>
              <w:rPr>
                <w:sz w:val="20"/>
                <w:szCs w:val="20"/>
              </w:rPr>
              <w:t>Note: Applicability of functionality-based LCM and model-ID-based LCM is a separate discussion.</w:t>
            </w:r>
          </w:p>
          <w:p>
            <w:pPr>
              <w:pStyle w:val="38"/>
              <w:widowControl/>
              <w:spacing w:before="72" w:beforeLines="30" w:after="72" w:afterLines="30" w:line="288" w:lineRule="auto"/>
              <w:ind w:left="520"/>
              <w:rPr>
                <w:sz w:val="20"/>
                <w:szCs w:val="20"/>
              </w:rPr>
            </w:pPr>
          </w:p>
          <w:p>
            <w:pPr>
              <w:widowControl/>
              <w:spacing w:before="72" w:beforeLines="30" w:after="72" w:afterLines="30" w:line="288" w:lineRule="auto"/>
              <w:rPr>
                <w:rFonts w:eastAsia="宋体"/>
                <w:b/>
                <w:bCs/>
                <w:u w:val="single"/>
              </w:rPr>
            </w:pPr>
            <w:r>
              <w:rPr>
                <w:b/>
                <w:bCs/>
                <w:u w:val="single"/>
              </w:rPr>
              <w:t>Agreement</w:t>
            </w:r>
            <w:r>
              <w:rPr>
                <w:rFonts w:hint="eastAsia" w:eastAsia="宋体"/>
                <w:b/>
                <w:bCs/>
                <w:u w:val="single"/>
              </w:rPr>
              <w:t xml:space="preserve"> (RAN1#114):</w:t>
            </w:r>
          </w:p>
          <w:p>
            <w:pPr>
              <w:widowControl/>
              <w:spacing w:before="72" w:beforeLines="30" w:after="72" w:afterLines="30" w:line="288" w:lineRule="auto"/>
            </w:pPr>
            <w:r>
              <w:t>Conclude that applicable functionalities/models can be reported by UE.</w:t>
            </w:r>
          </w:p>
        </w:tc>
      </w:tr>
    </w:tbl>
    <w:p>
      <w:pPr>
        <w:snapToGrid w:val="0"/>
        <w:spacing w:before="72" w:beforeLines="30" w:after="72" w:afterLines="30" w:line="288" w:lineRule="auto"/>
        <w:rPr>
          <w:rFonts w:eastAsia="微软雅黑"/>
        </w:rPr>
      </w:pPr>
      <w:r>
        <w:rPr>
          <w:rFonts w:hint="eastAsia" w:eastAsia="微软雅黑"/>
        </w:rPr>
        <w:t>In previous RAN1 meetings, we had a lot of discussions on functionality identification. According to the progress so far, companies may have aligned views at least on the following aspects.</w:t>
      </w:r>
    </w:p>
    <w:p>
      <w:pPr>
        <w:numPr>
          <w:ilvl w:val="0"/>
          <w:numId w:val="18"/>
        </w:numPr>
        <w:snapToGrid w:val="0"/>
        <w:spacing w:before="72" w:beforeLines="30" w:after="72" w:afterLines="30" w:line="288" w:lineRule="auto"/>
        <w:rPr>
          <w:color w:val="000000"/>
        </w:rPr>
      </w:pPr>
      <w:r>
        <w:rPr>
          <w:rFonts w:hint="eastAsia"/>
          <w:color w:val="000000"/>
        </w:rPr>
        <w:t>Functionality identification is to provide information of an AI/ML functionality for the common understanding between the NW and UE;</w:t>
      </w:r>
    </w:p>
    <w:p>
      <w:pPr>
        <w:numPr>
          <w:ilvl w:val="0"/>
          <w:numId w:val="18"/>
        </w:numPr>
        <w:snapToGrid w:val="0"/>
        <w:spacing w:before="72" w:beforeLines="30" w:after="72" w:afterLines="30" w:line="288" w:lineRule="auto"/>
        <w:rPr>
          <w:color w:val="000000"/>
        </w:rPr>
      </w:pPr>
      <w:r>
        <w:rPr>
          <w:rFonts w:hint="eastAsia"/>
          <w:color w:val="000000"/>
        </w:rPr>
        <w:t>Functionality is defined under an AI/ML-enabled feature/FG (e.g., a sub use case);</w:t>
      </w:r>
    </w:p>
    <w:p>
      <w:pPr>
        <w:numPr>
          <w:ilvl w:val="0"/>
          <w:numId w:val="18"/>
        </w:numPr>
        <w:snapToGrid w:val="0"/>
        <w:spacing w:before="72" w:beforeLines="30" w:after="72" w:afterLines="30" w:line="288" w:lineRule="auto"/>
        <w:rPr>
          <w:color w:val="000000"/>
        </w:rPr>
      </w:pPr>
      <w:r>
        <w:rPr>
          <w:rFonts w:hint="eastAsia"/>
          <w:color w:val="000000"/>
        </w:rPr>
        <w:t xml:space="preserve">UE can deploy one or multiple models for a given functionality, which </w:t>
      </w:r>
      <w:r>
        <w:rPr>
          <w:rFonts w:hint="eastAsia" w:eastAsia="宋体"/>
          <w:color w:val="000000"/>
        </w:rPr>
        <w:t xml:space="preserve">maybe </w:t>
      </w:r>
      <w:r>
        <w:rPr>
          <w:rFonts w:hint="eastAsia"/>
          <w:color w:val="000000"/>
        </w:rPr>
        <w:t xml:space="preserve">transparent to </w:t>
      </w:r>
      <w:r>
        <w:rPr>
          <w:rFonts w:hint="eastAsia" w:eastAsia="宋体"/>
          <w:color w:val="000000"/>
        </w:rPr>
        <w:t xml:space="preserve">the </w:t>
      </w:r>
      <w:r>
        <w:rPr>
          <w:rFonts w:hint="eastAsia"/>
          <w:color w:val="000000"/>
        </w:rPr>
        <w:t>network;</w:t>
      </w:r>
    </w:p>
    <w:p>
      <w:pPr>
        <w:numPr>
          <w:ilvl w:val="0"/>
          <w:numId w:val="18"/>
        </w:numPr>
        <w:snapToGrid w:val="0"/>
        <w:spacing w:before="72" w:beforeLines="30" w:after="72" w:afterLines="30" w:line="288" w:lineRule="auto"/>
        <w:rPr>
          <w:color w:val="000000"/>
        </w:rPr>
      </w:pPr>
      <w:r>
        <w:rPr>
          <w:rFonts w:hint="eastAsia"/>
          <w:color w:val="000000"/>
        </w:rPr>
        <w:t>F</w:t>
      </w:r>
      <w:r>
        <w:rPr>
          <w:color w:val="000000"/>
        </w:rPr>
        <w:t xml:space="preserve">unctionality </w:t>
      </w:r>
      <w:r>
        <w:rPr>
          <w:rFonts w:hint="eastAsia"/>
          <w:color w:val="000000"/>
        </w:rPr>
        <w:t xml:space="preserve">identification will be based on </w:t>
      </w:r>
      <w:r>
        <w:rPr>
          <w:color w:val="000000"/>
        </w:rPr>
        <w:t xml:space="preserve">UE capability reporting </w:t>
      </w:r>
      <w:r>
        <w:rPr>
          <w:rFonts w:hint="eastAsia"/>
          <w:color w:val="000000"/>
        </w:rPr>
        <w:t>framework</w:t>
      </w:r>
      <w:r>
        <w:rPr>
          <w:rFonts w:hint="eastAsia" w:eastAsia="宋体"/>
          <w:color w:val="000000"/>
        </w:rPr>
        <w:t xml:space="preserve"> as defined</w:t>
      </w:r>
      <w:r>
        <w:rPr>
          <w:rFonts w:hint="eastAsia"/>
          <w:color w:val="000000"/>
        </w:rPr>
        <w:t xml:space="preserve"> in current specification;</w:t>
      </w:r>
    </w:p>
    <w:p>
      <w:pPr>
        <w:numPr>
          <w:ilvl w:val="0"/>
          <w:numId w:val="18"/>
        </w:numPr>
        <w:snapToGrid w:val="0"/>
        <w:spacing w:before="72" w:beforeLines="30" w:after="72" w:afterLines="30" w:line="288" w:lineRule="auto"/>
        <w:rPr>
          <w:color w:val="000000"/>
        </w:rPr>
      </w:pPr>
      <w:r>
        <w:rPr>
          <w:rFonts w:hint="eastAsia"/>
          <w:color w:val="000000"/>
        </w:rPr>
        <w:t>Functionality is configured</w:t>
      </w:r>
      <w:r>
        <w:rPr>
          <w:rFonts w:hint="eastAsia" w:eastAsia="宋体"/>
          <w:color w:val="000000"/>
        </w:rPr>
        <w:t>/determined</w:t>
      </w:r>
      <w:r>
        <w:rPr>
          <w:rFonts w:hint="eastAsia"/>
          <w:color w:val="000000"/>
        </w:rPr>
        <w:t xml:space="preserve"> according to conditions indicated by UE capability.</w:t>
      </w:r>
    </w:p>
    <w:p>
      <w:pPr>
        <w:snapToGrid w:val="0"/>
        <w:spacing w:before="72" w:beforeLines="30" w:after="72" w:afterLines="30" w:line="288" w:lineRule="auto"/>
        <w:rPr>
          <w:rFonts w:eastAsia="微软雅黑"/>
        </w:rPr>
      </w:pPr>
      <w:r>
        <w:rPr>
          <w:rFonts w:hint="eastAsia" w:eastAsia="微软雅黑"/>
        </w:rPr>
        <w:t>Based on the above understandings, one possible functionality identification procedure is drawn below. With the procedure shown in Figure 2, there is no explicit functionality defined. Instead, the functionality is implicitly configured by the report setting and resource setting according to the conditions indicated by UE capability, which is exactly the same as non-AI/ML feature/FG (e.g., MIMO related feature/FG) defined in current specification.</w:t>
      </w:r>
    </w:p>
    <w:p>
      <w:pPr>
        <w:snapToGrid w:val="0"/>
        <w:spacing w:before="72" w:beforeLines="30" w:after="72" w:afterLines="30" w:line="288" w:lineRule="auto"/>
        <w:jc w:val="center"/>
      </w:pPr>
      <w:r>
        <w:drawing>
          <wp:inline distT="0" distB="0" distL="114300" distR="114300">
            <wp:extent cx="5005070" cy="2428875"/>
            <wp:effectExtent l="0" t="0" r="889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1"/>
                    <a:stretch>
                      <a:fillRect/>
                    </a:stretch>
                  </pic:blipFill>
                  <pic:spPr>
                    <a:xfrm>
                      <a:off x="0" y="0"/>
                      <a:ext cx="5005070" cy="2428875"/>
                    </a:xfrm>
                    <a:prstGeom prst="rect">
                      <a:avLst/>
                    </a:prstGeom>
                    <a:noFill/>
                    <a:ln>
                      <a:noFill/>
                    </a:ln>
                  </pic:spPr>
                </pic:pic>
              </a:graphicData>
            </a:graphic>
          </wp:inline>
        </w:drawing>
      </w:r>
    </w:p>
    <w:p>
      <w:pPr>
        <w:snapToGrid w:val="0"/>
        <w:spacing w:before="72" w:beforeLines="30" w:after="72" w:afterLines="30" w:line="288" w:lineRule="auto"/>
        <w:jc w:val="center"/>
        <w:rPr>
          <w:rFonts w:eastAsia="宋体"/>
        </w:rPr>
      </w:pPr>
      <w:r>
        <w:rPr>
          <w:rFonts w:hint="eastAsia" w:eastAsia="宋体"/>
        </w:rPr>
        <w:t>Figure 2. Option 1-functionality identification process via legacy UE capability report</w:t>
      </w:r>
    </w:p>
    <w:p>
      <w:pPr>
        <w:snapToGrid w:val="0"/>
        <w:spacing w:before="72" w:beforeLines="30" w:after="72" w:afterLines="30" w:line="288" w:lineRule="auto"/>
        <w:rPr>
          <w:rFonts w:eastAsia="微软雅黑"/>
        </w:rPr>
      </w:pPr>
      <w:r>
        <w:rPr>
          <w:rFonts w:hint="eastAsia" w:eastAsia="微软雅黑"/>
        </w:rPr>
        <w:t xml:space="preserve">However, according to the current practice defined in UE feature, if a UE reports the max number of beams in the UE capability (one example is cited in the following table from TR 38.822), it means the network can configure any number of beams that is not larger than the max number. If the same mechanism is applied to the UE capability report for an AI/ML-enabled feature/FG, it allows the network to configure all combinations of candidate values indicated in the conditions. The consequence is that the UE has to deploy a model with good generalization to support all combinations of the candidate values indicated in the conditions or a large </w:t>
      </w:r>
      <w:r>
        <w:rPr>
          <w:rFonts w:eastAsia="微软雅黑"/>
        </w:rPr>
        <w:t>number</w:t>
      </w:r>
      <w:r>
        <w:rPr>
          <w:rFonts w:hint="eastAsia" w:eastAsia="微软雅黑"/>
        </w:rPr>
        <w:t xml:space="preserve"> of models to work for different combinations. This may not be a good choice as the conditions of a functionality are generally used to describe the generalization capability of AI/ML models in various configurations/</w:t>
      </w:r>
      <w:r>
        <w:rPr>
          <w:rFonts w:hint="eastAsia"/>
        </w:rPr>
        <w:t>scenarios</w:t>
      </w:r>
      <w:r>
        <w:rPr>
          <w:rFonts w:hint="eastAsia" w:eastAsia="微软雅黑"/>
        </w:rPr>
        <w:t>. With the increase of configurations/</w:t>
      </w:r>
      <w:r>
        <w:rPr>
          <w:rFonts w:hint="eastAsia"/>
        </w:rPr>
        <w:t>scenarios</w:t>
      </w:r>
      <w:r>
        <w:rPr>
          <w:rFonts w:hint="eastAsia" w:eastAsia="微软雅黑"/>
        </w:rPr>
        <w:t>, it</w:t>
      </w:r>
      <w:r>
        <w:rPr>
          <w:rFonts w:eastAsia="微软雅黑"/>
        </w:rPr>
        <w:t>’</w:t>
      </w:r>
      <w:r>
        <w:rPr>
          <w:rFonts w:hint="eastAsia" w:eastAsia="微软雅黑"/>
        </w:rPr>
        <w:t>s hard to train a unified model or a bunch of models to support all the combinations.</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1"/>
        <w:gridCol w:w="3408"/>
        <w:gridCol w:w="3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1" w:type="dxa"/>
          </w:tcPr>
          <w:p>
            <w:pPr>
              <w:pStyle w:val="62"/>
              <w:spacing w:before="120" w:after="120"/>
              <w:rPr>
                <w:rFonts w:ascii="Times New Roman" w:hAnsi="Times New Roman"/>
              </w:rPr>
            </w:pPr>
            <w:r>
              <w:rPr>
                <w:rFonts w:ascii="Times New Roman" w:hAnsi="Times New Roman"/>
              </w:rPr>
              <w:t>SSB/CSI-RS for beam measurement</w:t>
            </w:r>
          </w:p>
        </w:tc>
        <w:tc>
          <w:tcPr>
            <w:tcW w:w="3408" w:type="dxa"/>
          </w:tcPr>
          <w:p>
            <w:pPr>
              <w:pStyle w:val="62"/>
              <w:spacing w:before="120" w:after="120"/>
              <w:rPr>
                <w:rFonts w:ascii="Times New Roman" w:hAnsi="Times New Roman"/>
              </w:rPr>
            </w:pPr>
            <w:r>
              <w:rPr>
                <w:rFonts w:ascii="Times New Roman" w:hAnsi="Times New Roman"/>
              </w:rPr>
              <w:t xml:space="preserve">1) The max number of SSB/CSI-RS (1Tx) resources (sum of aperiodic/periodic/semi-persistent) across all CCs configured to measure L1-RSRP within a slot shall not exceed MB_1 </w:t>
            </w:r>
          </w:p>
        </w:tc>
        <w:tc>
          <w:tcPr>
            <w:tcW w:w="3853" w:type="dxa"/>
          </w:tcPr>
          <w:p>
            <w:pPr>
              <w:pStyle w:val="62"/>
              <w:spacing w:before="120" w:after="120"/>
              <w:rPr>
                <w:rFonts w:ascii="Times New Roman" w:hAnsi="Times New Roman"/>
              </w:rPr>
            </w:pPr>
            <w:r>
              <w:rPr>
                <w:rFonts w:ascii="Times New Roman" w:hAnsi="Times New Roman"/>
              </w:rPr>
              <w:t>Component-1, candidate value set for MB_1 is {0, 8, 16, 32, 64}</w:t>
            </w:r>
          </w:p>
          <w:p>
            <w:pPr>
              <w:pStyle w:val="62"/>
              <w:spacing w:before="120" w:after="120"/>
              <w:rPr>
                <w:rFonts w:ascii="Times New Roman" w:hAnsi="Times New Roman"/>
              </w:rPr>
            </w:pPr>
          </w:p>
          <w:p>
            <w:pPr>
              <w:pStyle w:val="62"/>
              <w:spacing w:before="120" w:after="120"/>
              <w:rPr>
                <w:rFonts w:ascii="Times New Roman" w:hAnsi="Times New Roman"/>
              </w:rPr>
            </w:pPr>
          </w:p>
        </w:tc>
      </w:tr>
    </w:tbl>
    <w:p>
      <w:pPr>
        <w:pStyle w:val="32"/>
        <w:spacing w:before="72" w:after="72"/>
        <w:jc w:val="both"/>
        <w:rPr>
          <w:lang w:val="en-US" w:eastAsia="zh-CN"/>
        </w:rPr>
      </w:pPr>
      <w:bookmarkStart w:id="1" w:name="_Toc10157"/>
      <w:bookmarkStart w:id="2" w:name="_Toc24113"/>
      <w:r>
        <w:rPr>
          <w:lang w:val="en-US" w:eastAsia="zh-CN"/>
        </w:rPr>
        <w:t xml:space="preserve">If </w:t>
      </w:r>
      <w:r>
        <w:rPr>
          <w:rFonts w:hint="eastAsia"/>
          <w:lang w:val="en-US" w:eastAsia="zh-CN"/>
        </w:rPr>
        <w:t xml:space="preserve">functionality identification follows the </w:t>
      </w:r>
      <w:r>
        <w:rPr>
          <w:lang w:val="en-US" w:eastAsia="zh-CN"/>
        </w:rPr>
        <w:t xml:space="preserve">same mechanism </w:t>
      </w:r>
      <w:r>
        <w:rPr>
          <w:rFonts w:hint="eastAsia"/>
          <w:lang w:val="en-US" w:eastAsia="zh-CN"/>
        </w:rPr>
        <w:t>as</w:t>
      </w:r>
      <w:r>
        <w:rPr>
          <w:lang w:val="en-US" w:eastAsia="zh-CN"/>
        </w:rPr>
        <w:t xml:space="preserve"> </w:t>
      </w:r>
      <w:r>
        <w:rPr>
          <w:rFonts w:hint="eastAsia"/>
          <w:lang w:val="en-US" w:eastAsia="zh-CN"/>
        </w:rPr>
        <w:t>the non-</w:t>
      </w:r>
      <w:r>
        <w:rPr>
          <w:lang w:val="en-US" w:eastAsia="zh-CN"/>
        </w:rPr>
        <w:t xml:space="preserve">AI/ML feature/FG, it allows </w:t>
      </w:r>
      <w:r>
        <w:rPr>
          <w:rFonts w:hint="eastAsia" w:eastAsia="微软雅黑"/>
          <w:lang w:val="en-US" w:eastAsia="zh-CN"/>
        </w:rPr>
        <w:t xml:space="preserve">the </w:t>
      </w:r>
      <w:r>
        <w:rPr>
          <w:lang w:val="en-US" w:eastAsia="zh-CN"/>
        </w:rPr>
        <w:t xml:space="preserve">network to configure all combinations of the candidate values indicated in the conditions. The consequence </w:t>
      </w:r>
      <w:r>
        <w:rPr>
          <w:rFonts w:hint="eastAsia"/>
          <w:lang w:val="en-US" w:eastAsia="zh-CN"/>
        </w:rPr>
        <w:t>is</w:t>
      </w:r>
      <w:r>
        <w:rPr>
          <w:lang w:val="en-US" w:eastAsia="zh-CN"/>
        </w:rPr>
        <w:t xml:space="preserve"> that </w:t>
      </w:r>
      <w:r>
        <w:rPr>
          <w:rFonts w:hint="eastAsia" w:eastAsia="微软雅黑"/>
          <w:lang w:val="en-US" w:eastAsia="zh-CN"/>
        </w:rPr>
        <w:t xml:space="preserve">the </w:t>
      </w:r>
      <w:r>
        <w:rPr>
          <w:lang w:val="en-US" w:eastAsia="zh-CN"/>
        </w:rPr>
        <w:t xml:space="preserve">UE has to deploy a model with good generalization to support all combinations of the candidate values indicated in the conditions or a large number of models </w:t>
      </w:r>
      <w:r>
        <w:rPr>
          <w:rFonts w:hint="eastAsia"/>
          <w:lang w:val="en-US" w:eastAsia="zh-CN"/>
        </w:rPr>
        <w:t>applied</w:t>
      </w:r>
      <w:r>
        <w:rPr>
          <w:lang w:val="en-US" w:eastAsia="zh-CN"/>
        </w:rPr>
        <w:t xml:space="preserve"> </w:t>
      </w:r>
      <w:r>
        <w:rPr>
          <w:rFonts w:hint="eastAsia"/>
          <w:lang w:val="en-US" w:eastAsia="zh-CN"/>
        </w:rPr>
        <w:t xml:space="preserve">for </w:t>
      </w:r>
      <w:r>
        <w:rPr>
          <w:lang w:val="en-US" w:eastAsia="zh-CN"/>
        </w:rPr>
        <w:t>different combinations.</w:t>
      </w:r>
      <w:bookmarkEnd w:id="1"/>
      <w:bookmarkEnd w:id="2"/>
      <w:r>
        <w:rPr>
          <w:lang w:val="en-US" w:eastAsia="zh-CN"/>
        </w:rPr>
        <w:t xml:space="preserve"> </w:t>
      </w:r>
    </w:p>
    <w:p>
      <w:pPr>
        <w:snapToGrid w:val="0"/>
        <w:spacing w:before="72" w:beforeLines="30" w:after="72" w:afterLines="30" w:line="288" w:lineRule="auto"/>
        <w:rPr>
          <w:rFonts w:eastAsia="微软雅黑"/>
        </w:rPr>
      </w:pPr>
      <w:r>
        <w:rPr>
          <w:rFonts w:hint="eastAsia" w:eastAsia="微软雅黑"/>
        </w:rPr>
        <w:t>An</w:t>
      </w:r>
      <w:r>
        <w:rPr>
          <w:rFonts w:eastAsia="微软雅黑"/>
        </w:rPr>
        <w:t xml:space="preserve">other issue is that </w:t>
      </w:r>
      <w:r>
        <w:rPr>
          <w:rFonts w:hint="eastAsia" w:eastAsia="微软雅黑"/>
        </w:rPr>
        <w:t xml:space="preserve">the </w:t>
      </w:r>
      <w:r>
        <w:rPr>
          <w:rFonts w:eastAsia="微软雅黑"/>
        </w:rPr>
        <w:t xml:space="preserve">current UE capability </w:t>
      </w:r>
      <w:r>
        <w:rPr>
          <w:rFonts w:hint="eastAsia" w:eastAsia="微软雅黑"/>
        </w:rPr>
        <w:t xml:space="preserve">can only be </w:t>
      </w:r>
      <w:r>
        <w:rPr>
          <w:rFonts w:eastAsia="微软雅黑"/>
        </w:rPr>
        <w:t xml:space="preserve">used to report a functionality that is already deployed </w:t>
      </w:r>
      <w:r>
        <w:rPr>
          <w:rFonts w:hint="eastAsia" w:eastAsia="微软雅黑"/>
        </w:rPr>
        <w:t xml:space="preserve">on the </w:t>
      </w:r>
      <w:r>
        <w:rPr>
          <w:rFonts w:eastAsia="微软雅黑"/>
        </w:rPr>
        <w:t>UE</w:t>
      </w:r>
      <w:r>
        <w:rPr>
          <w:rFonts w:hint="eastAsia" w:eastAsia="微软雅黑"/>
        </w:rPr>
        <w:t xml:space="preserve"> side, which may potentially preclude the development of model transfer</w:t>
      </w:r>
      <w:r>
        <w:rPr>
          <w:rFonts w:eastAsia="微软雅黑"/>
        </w:rPr>
        <w:t xml:space="preserve">. </w:t>
      </w:r>
      <w:r>
        <w:rPr>
          <w:rFonts w:hint="eastAsia" w:eastAsia="微软雅黑"/>
        </w:rPr>
        <w:t xml:space="preserve">Considering the model transfer from NW to UE, </w:t>
      </w:r>
      <w:r>
        <w:rPr>
          <w:rFonts w:eastAsia="微软雅黑"/>
        </w:rPr>
        <w:t xml:space="preserve">the applicable conditions of </w:t>
      </w:r>
      <w:r>
        <w:rPr>
          <w:rFonts w:hint="eastAsia" w:eastAsia="微软雅黑"/>
        </w:rPr>
        <w:t>the</w:t>
      </w:r>
      <w:r>
        <w:rPr>
          <w:rFonts w:eastAsia="微软雅黑"/>
        </w:rPr>
        <w:t xml:space="preserve"> functionality may only be known at </w:t>
      </w:r>
      <w:r>
        <w:rPr>
          <w:rFonts w:hint="eastAsia" w:eastAsia="微软雅黑"/>
        </w:rPr>
        <w:t xml:space="preserve">the </w:t>
      </w:r>
      <w:r>
        <w:rPr>
          <w:rFonts w:eastAsia="微软雅黑"/>
        </w:rPr>
        <w:t>network side</w:t>
      </w:r>
      <w:r>
        <w:rPr>
          <w:rFonts w:hint="eastAsia" w:eastAsia="微软雅黑"/>
        </w:rPr>
        <w:t xml:space="preserve"> before model transfer</w:t>
      </w:r>
      <w:r>
        <w:rPr>
          <w:rFonts w:eastAsia="微软雅黑"/>
        </w:rPr>
        <w:t xml:space="preserve">. </w:t>
      </w:r>
      <w:r>
        <w:rPr>
          <w:rFonts w:hint="eastAsia" w:eastAsia="微软雅黑"/>
        </w:rPr>
        <w:t xml:space="preserve">Thus, without prior indication in the UE capability report that </w:t>
      </w:r>
      <w:r>
        <w:rPr>
          <w:rFonts w:eastAsia="微软雅黑"/>
        </w:rPr>
        <w:t>the applicable conditions</w:t>
      </w:r>
      <w:r>
        <w:rPr>
          <w:rFonts w:hint="eastAsia" w:eastAsia="微软雅黑"/>
        </w:rPr>
        <w:t xml:space="preserve"> associated with the transferred model are supported, the model transfer from NW to UE cannot proceed.</w:t>
      </w:r>
    </w:p>
    <w:p>
      <w:pPr>
        <w:snapToGrid w:val="0"/>
        <w:spacing w:before="72" w:beforeLines="30" w:after="72" w:afterLines="30" w:line="288" w:lineRule="auto"/>
        <w:rPr>
          <w:rFonts w:eastAsia="微软雅黑"/>
        </w:rPr>
      </w:pPr>
      <w:r>
        <w:rPr>
          <w:rFonts w:hint="eastAsia" w:eastAsia="微软雅黑"/>
        </w:rPr>
        <w:t>In our view, the AI/ML framework discussed in Rel-18 should have enough flexibility to be compatible with future extensions to the rapid development of AI/ML technologies. To be more specific, the UE capability report for an AI/ML-enabled feature/FG should consider the following aspects:</w:t>
      </w:r>
    </w:p>
    <w:p>
      <w:pPr>
        <w:numPr>
          <w:ilvl w:val="0"/>
          <w:numId w:val="14"/>
        </w:numPr>
        <w:snapToGrid w:val="0"/>
        <w:spacing w:before="72" w:beforeLines="30" w:after="72" w:afterLines="30" w:line="288" w:lineRule="auto"/>
        <w:rPr>
          <w:rFonts w:eastAsia="微软雅黑"/>
          <w:highlight w:val="none"/>
        </w:rPr>
      </w:pPr>
      <w:r>
        <w:rPr>
          <w:rFonts w:hint="eastAsia"/>
          <w:color w:val="000000"/>
          <w:highlight w:val="none"/>
        </w:rPr>
        <w:t>How to design a</w:t>
      </w:r>
      <w:r>
        <w:rPr>
          <w:color w:val="000000"/>
          <w:highlight w:val="none"/>
        </w:rPr>
        <w:t>n</w:t>
      </w:r>
      <w:r>
        <w:rPr>
          <w:rFonts w:hint="eastAsia"/>
          <w:color w:val="000000"/>
          <w:highlight w:val="none"/>
        </w:rPr>
        <w:t xml:space="preserve"> extendable framework to define a functionality and its conditions; </w:t>
      </w:r>
    </w:p>
    <w:p>
      <w:pPr>
        <w:numPr>
          <w:ilvl w:val="0"/>
          <w:numId w:val="14"/>
        </w:numPr>
        <w:snapToGrid w:val="0"/>
        <w:spacing w:before="72" w:beforeLines="30" w:after="72" w:afterLines="30" w:line="288" w:lineRule="auto"/>
        <w:rPr>
          <w:rFonts w:eastAsia="微软雅黑"/>
          <w:highlight w:val="none"/>
        </w:rPr>
      </w:pPr>
      <w:r>
        <w:rPr>
          <w:rFonts w:hint="eastAsia"/>
          <w:color w:val="000000"/>
          <w:highlight w:val="none"/>
        </w:rPr>
        <w:t>The functionality should incorporate both AI/ML model</w:t>
      </w:r>
      <w:r>
        <w:rPr>
          <w:rFonts w:hint="eastAsia" w:eastAsia="宋体"/>
          <w:color w:val="000000"/>
          <w:highlight w:val="none"/>
        </w:rPr>
        <w:t>s</w:t>
      </w:r>
      <w:r>
        <w:rPr>
          <w:rFonts w:hint="eastAsia"/>
          <w:color w:val="000000"/>
          <w:highlight w:val="none"/>
        </w:rPr>
        <w:t xml:space="preserve"> trained by </w:t>
      </w:r>
      <w:r>
        <w:rPr>
          <w:rFonts w:hint="eastAsia" w:eastAsia="宋体"/>
          <w:color w:val="000000"/>
          <w:highlight w:val="none"/>
        </w:rPr>
        <w:t xml:space="preserve">the </w:t>
      </w:r>
      <w:r>
        <w:rPr>
          <w:rFonts w:hint="eastAsia"/>
          <w:color w:val="000000"/>
          <w:highlight w:val="none"/>
        </w:rPr>
        <w:t xml:space="preserve">UE side and </w:t>
      </w:r>
      <w:r>
        <w:rPr>
          <w:rFonts w:hint="eastAsia" w:eastAsia="宋体"/>
          <w:color w:val="000000"/>
          <w:highlight w:val="none"/>
        </w:rPr>
        <w:t xml:space="preserve">delivered/transferred from the </w:t>
      </w:r>
      <w:r>
        <w:rPr>
          <w:rFonts w:hint="eastAsia"/>
          <w:color w:val="000000"/>
          <w:highlight w:val="none"/>
        </w:rPr>
        <w:t>network side.</w:t>
      </w:r>
    </w:p>
    <w:p>
      <w:pPr>
        <w:snapToGrid w:val="0"/>
        <w:spacing w:before="72" w:beforeLines="30" w:after="72" w:afterLines="30" w:line="288" w:lineRule="auto"/>
        <w:rPr>
          <w:rFonts w:eastAsia="宋体"/>
          <w:color w:val="000000"/>
        </w:rPr>
      </w:pPr>
      <w:r>
        <w:rPr>
          <w:rFonts w:hint="eastAsia"/>
          <w:color w:val="000000"/>
        </w:rPr>
        <w:t xml:space="preserve">Some initial views to address the above aspects will be further discussed in the remaining </w:t>
      </w:r>
      <w:r>
        <w:rPr>
          <w:rFonts w:hint="eastAsia" w:eastAsia="宋体"/>
          <w:color w:val="000000"/>
        </w:rPr>
        <w:t xml:space="preserve">parts of this </w:t>
      </w:r>
      <w:r>
        <w:rPr>
          <w:rFonts w:hint="eastAsia"/>
          <w:color w:val="000000"/>
        </w:rPr>
        <w:t>section</w:t>
      </w:r>
      <w:r>
        <w:rPr>
          <w:rFonts w:hint="eastAsia" w:eastAsia="宋体"/>
          <w:color w:val="000000"/>
        </w:rPr>
        <w:t>.</w:t>
      </w:r>
    </w:p>
    <w:p>
      <w:pPr>
        <w:spacing w:before="120" w:after="120"/>
        <w:jc w:val="center"/>
      </w:pPr>
      <w:r>
        <w:drawing>
          <wp:inline distT="0" distB="0" distL="114300" distR="114300">
            <wp:extent cx="2497455" cy="2436495"/>
            <wp:effectExtent l="0" t="0" r="190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2"/>
                    <a:stretch>
                      <a:fillRect/>
                    </a:stretch>
                  </pic:blipFill>
                  <pic:spPr>
                    <a:xfrm>
                      <a:off x="0" y="0"/>
                      <a:ext cx="2497455" cy="2436495"/>
                    </a:xfrm>
                    <a:prstGeom prst="rect">
                      <a:avLst/>
                    </a:prstGeom>
                    <a:noFill/>
                    <a:ln>
                      <a:noFill/>
                    </a:ln>
                  </pic:spPr>
                </pic:pic>
              </a:graphicData>
            </a:graphic>
          </wp:inline>
        </w:drawing>
      </w:r>
    </w:p>
    <w:p>
      <w:pPr>
        <w:spacing w:before="120" w:after="120"/>
        <w:jc w:val="center"/>
      </w:pPr>
      <w:r>
        <w:rPr>
          <w:rFonts w:hint="eastAsia" w:eastAsia="宋体"/>
        </w:rPr>
        <w:t>Figure 3. Option 2 - The functionality and its values of conditions are reported by UE capability</w:t>
      </w:r>
    </w:p>
    <w:p>
      <w:pPr>
        <w:snapToGrid w:val="0"/>
        <w:spacing w:before="72" w:beforeLines="30" w:after="72" w:afterLines="30" w:line="288" w:lineRule="auto"/>
        <w:rPr>
          <w:rFonts w:eastAsia="微软雅黑"/>
        </w:rPr>
      </w:pPr>
      <w:r>
        <w:rPr>
          <w:rFonts w:hint="eastAsia" w:eastAsia="微软雅黑"/>
        </w:rPr>
        <w:t xml:space="preserve">According to the above Figure 3, the UE indicates its supported functionalities of an AI/ML-enabled feature in the UE capability report, where the conditions of each functionality are indicated by a combination of the candidate </w:t>
      </w:r>
      <w:r>
        <w:rPr>
          <w:rFonts w:eastAsia="微软雅黑"/>
        </w:rPr>
        <w:t>value</w:t>
      </w:r>
      <w:r>
        <w:rPr>
          <w:rFonts w:hint="eastAsia" w:eastAsia="微软雅黑"/>
        </w:rPr>
        <w:t>s. That is to say, each functionality is clearly defined by a combination of conditions with specific values. In this way, the UE may only deploy a specific model for one functionality. Besides, there is no need for the UE to support all combinations of candidate values indicated in the conditions/components as legacy, which allows the UE to have more flexibility to train configuration/scenario-specific AI/ML models for different functionalities. However, this method may only be limited to the AI/ML models trained and deployed by the UE side. It</w:t>
      </w:r>
      <w:r>
        <w:rPr>
          <w:rFonts w:eastAsia="微软雅黑"/>
        </w:rPr>
        <w:t>’</w:t>
      </w:r>
      <w:r>
        <w:rPr>
          <w:rFonts w:hint="eastAsia" w:eastAsia="微软雅黑"/>
        </w:rPr>
        <w:t>s hard to support model transfer associated with different</w:t>
      </w:r>
      <w:r>
        <w:rPr>
          <w:rFonts w:eastAsia="微软雅黑"/>
        </w:rPr>
        <w:t xml:space="preserve"> functionalities indicated in </w:t>
      </w:r>
      <w:r>
        <w:rPr>
          <w:rFonts w:hint="eastAsia" w:eastAsia="微软雅黑"/>
        </w:rPr>
        <w:t>the UE capability.</w:t>
      </w:r>
    </w:p>
    <w:p>
      <w:pPr>
        <w:pStyle w:val="32"/>
        <w:spacing w:before="72" w:after="72"/>
        <w:jc w:val="both"/>
      </w:pPr>
      <w:bookmarkStart w:id="3" w:name="_Toc4889"/>
      <w:bookmarkStart w:id="4" w:name="_Toc16499"/>
      <w:r>
        <w:rPr>
          <w:rFonts w:hint="eastAsia"/>
          <w:lang w:val="en-US" w:eastAsia="zh-CN"/>
        </w:rPr>
        <w:t>When the functionality and the corresponding values of conditions</w:t>
      </w:r>
      <w:r>
        <w:rPr>
          <w:rFonts w:hint="eastAsia" w:eastAsia="微软雅黑"/>
        </w:rPr>
        <w:t>/components</w:t>
      </w:r>
      <w:r>
        <w:rPr>
          <w:rFonts w:hint="eastAsia"/>
          <w:lang w:val="en-US" w:eastAsia="zh-CN"/>
        </w:rPr>
        <w:t xml:space="preserve"> are reported by </w:t>
      </w:r>
      <w:r>
        <w:rPr>
          <w:rFonts w:hint="eastAsia" w:eastAsia="微软雅黑"/>
          <w:lang w:val="en-US" w:eastAsia="zh-CN"/>
        </w:rPr>
        <w:t xml:space="preserve">the </w:t>
      </w:r>
      <w:r>
        <w:rPr>
          <w:rFonts w:hint="eastAsia"/>
          <w:lang w:val="en-US" w:eastAsia="zh-CN"/>
        </w:rPr>
        <w:t xml:space="preserve">UE capability, there is no need for </w:t>
      </w:r>
      <w:r>
        <w:rPr>
          <w:rFonts w:hint="eastAsia" w:eastAsia="微软雅黑"/>
          <w:lang w:val="en-US" w:eastAsia="zh-CN"/>
        </w:rPr>
        <w:t xml:space="preserve">the </w:t>
      </w:r>
      <w:r>
        <w:rPr>
          <w:rFonts w:hint="eastAsia"/>
          <w:lang w:val="en-US" w:eastAsia="zh-CN"/>
        </w:rPr>
        <w:t>UE to support all combinations of candidate values indicated in the conditions/components as legacy. It allows UE to have more flexibility to train configuration/scenario-specific AI/ML models</w:t>
      </w:r>
      <w:bookmarkEnd w:id="3"/>
      <w:r>
        <w:rPr>
          <w:rFonts w:hint="eastAsia"/>
          <w:lang w:val="en-US" w:eastAsia="zh-CN"/>
        </w:rPr>
        <w:t xml:space="preserve"> for different functionalities.</w:t>
      </w:r>
      <w:bookmarkEnd w:id="4"/>
    </w:p>
    <w:p>
      <w:pPr>
        <w:pStyle w:val="32"/>
        <w:spacing w:before="72" w:after="72"/>
        <w:jc w:val="both"/>
      </w:pPr>
      <w:bookmarkStart w:id="5" w:name="_Toc9847"/>
      <w:bookmarkStart w:id="6" w:name="_Toc27941"/>
      <w:r>
        <w:rPr>
          <w:rFonts w:hint="eastAsia"/>
          <w:lang w:val="en-US" w:eastAsia="zh-CN"/>
        </w:rPr>
        <w:t>The legacy UE capability report is limited to AI/ML models trained and deployed by the UE side. It</w:t>
      </w:r>
      <w:r>
        <w:rPr>
          <w:lang w:val="en-US" w:eastAsia="zh-CN"/>
        </w:rPr>
        <w:t>’</w:t>
      </w:r>
      <w:r>
        <w:rPr>
          <w:rFonts w:hint="eastAsia"/>
          <w:lang w:val="en-US" w:eastAsia="zh-CN"/>
        </w:rPr>
        <w:t>s hard to support model transfer</w:t>
      </w:r>
      <w:r>
        <w:t xml:space="preserve"> </w:t>
      </w:r>
      <w:r>
        <w:rPr>
          <w:lang w:val="en-US" w:eastAsia="zh-CN"/>
        </w:rPr>
        <w:t>associated with different functionalities indicated in the UE capability.</w:t>
      </w:r>
      <w:bookmarkEnd w:id="5"/>
      <w:bookmarkEnd w:id="6"/>
    </w:p>
    <w:p>
      <w:pPr>
        <w:snapToGrid w:val="0"/>
        <w:spacing w:before="72" w:beforeLines="30" w:after="72" w:afterLines="30" w:line="288" w:lineRule="auto"/>
        <w:rPr>
          <w:rFonts w:eastAsia="微软雅黑"/>
        </w:rPr>
      </w:pPr>
      <w:r>
        <w:rPr>
          <w:rFonts w:hint="eastAsia" w:eastAsia="微软雅黑"/>
        </w:rPr>
        <w:t>Alternatively, as shown in Figure 4, the UE first indicates its supported candidate values for each condition/component of an AI/ML-enabled feature as the legacy UE capability report. After the UE capability report, the applicable functionality can be further reported by the UE or configured by the network via model transfer.</w:t>
      </w:r>
    </w:p>
    <w:p>
      <w:pPr>
        <w:numPr>
          <w:ilvl w:val="0"/>
          <w:numId w:val="19"/>
        </w:numPr>
        <w:snapToGrid w:val="0"/>
        <w:spacing w:before="72" w:beforeLines="30" w:after="72" w:afterLines="30" w:line="288" w:lineRule="auto"/>
        <w:rPr>
          <w:rFonts w:eastAsia="微软雅黑"/>
        </w:rPr>
      </w:pPr>
      <w:r>
        <w:rPr>
          <w:rFonts w:hint="eastAsia" w:eastAsia="微软雅黑"/>
        </w:rPr>
        <w:t>Type 1 without model transfer: After the UE capability report, the UE dynamically reports currently supported/deployed functionality and corresponding applicable conditions based on the conditions indicated in the UE capability. Each condition of the functionality should at least indicate one specific value selected from the candidate values in the UE capability report. Note that, Type 1 is compatible with the agreement made in RAN1#114 meeting that applicable functionalities/models can be reported by the UE.</w:t>
      </w:r>
    </w:p>
    <w:p>
      <w:pPr>
        <w:numPr>
          <w:ilvl w:val="0"/>
          <w:numId w:val="19"/>
        </w:numPr>
        <w:snapToGrid w:val="0"/>
        <w:spacing w:before="72" w:beforeLines="30" w:after="72" w:afterLines="30" w:line="288" w:lineRule="auto"/>
        <w:rPr>
          <w:rFonts w:eastAsia="宋体"/>
          <w:b/>
          <w:bCs/>
          <w:u w:val="single"/>
        </w:rPr>
      </w:pPr>
      <w:r>
        <w:rPr>
          <w:rFonts w:hint="eastAsia" w:eastAsia="微软雅黑"/>
        </w:rPr>
        <w:t>Type 2 with model transfer: After the UE capability report, the network configures a functionality and corresponding applicable conditions to the UE based on the conditions indicated in the UE capability. Each condition of the functionality should at least indicate one specific value selected from the candidate values in the UE capability report. Meanwhile, a model is transferred from NW to UE for the configured functionality. For Type 2, the UE may need to support additional capabilities to facilitate the model transfer, such as the supported model description format and model structure.</w:t>
      </w:r>
    </w:p>
    <w:p>
      <w:pPr>
        <w:spacing w:before="120" w:after="120"/>
        <w:jc w:val="center"/>
      </w:pPr>
      <w:r>
        <w:drawing>
          <wp:inline distT="0" distB="0" distL="114300" distR="114300">
            <wp:extent cx="4964430" cy="2025650"/>
            <wp:effectExtent l="0" t="0" r="0" b="127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3"/>
                    <a:stretch>
                      <a:fillRect/>
                    </a:stretch>
                  </pic:blipFill>
                  <pic:spPr>
                    <a:xfrm>
                      <a:off x="0" y="0"/>
                      <a:ext cx="4964430" cy="2025650"/>
                    </a:xfrm>
                    <a:prstGeom prst="rect">
                      <a:avLst/>
                    </a:prstGeom>
                    <a:noFill/>
                    <a:ln>
                      <a:noFill/>
                    </a:ln>
                  </pic:spPr>
                </pic:pic>
              </a:graphicData>
            </a:graphic>
          </wp:inline>
        </w:drawing>
      </w:r>
    </w:p>
    <w:p>
      <w:pPr>
        <w:spacing w:before="120" w:after="120"/>
        <w:jc w:val="center"/>
        <w:rPr>
          <w:rFonts w:eastAsia="宋体"/>
        </w:rPr>
      </w:pPr>
      <w:r>
        <w:rPr>
          <w:rFonts w:hint="eastAsia" w:eastAsia="宋体"/>
        </w:rPr>
        <w:t>Figure 4. Option 3 - Functionality is reported by UE or configured by NW via model transfer</w:t>
      </w:r>
    </w:p>
    <w:p>
      <w:pPr>
        <w:pStyle w:val="30"/>
        <w:spacing w:before="72" w:after="72"/>
        <w:jc w:val="both"/>
        <w:rPr>
          <w:lang w:val="en-US"/>
        </w:rPr>
      </w:pPr>
      <w:bookmarkStart w:id="7" w:name="_Toc9788"/>
      <w:bookmarkStart w:id="8" w:name="_Toc24747"/>
      <w:r>
        <w:rPr>
          <w:rFonts w:hint="eastAsia"/>
          <w:lang w:val="en-US"/>
        </w:rPr>
        <w:t>Further study how to reuse the current UE capability report to support the functionality identification process, including the following options:</w:t>
      </w:r>
      <w:bookmarkEnd w:id="7"/>
      <w:bookmarkEnd w:id="8"/>
    </w:p>
    <w:p>
      <w:pPr>
        <w:pStyle w:val="33"/>
        <w:spacing w:before="72" w:after="72"/>
        <w:jc w:val="both"/>
      </w:pPr>
      <w:bookmarkStart w:id="9" w:name="_Toc23295"/>
      <w:bookmarkStart w:id="10" w:name="_Toc17076"/>
      <w:r>
        <w:rPr>
          <w:rFonts w:hint="eastAsia"/>
        </w:rPr>
        <w:t>Option 1: Functionality identification process totally reuses the UE capability report for non-AI/ML feature/FG defined in current specification</w:t>
      </w:r>
      <w:bookmarkEnd w:id="9"/>
      <w:r>
        <w:rPr>
          <w:rFonts w:hint="eastAsia"/>
        </w:rPr>
        <w:t>.</w:t>
      </w:r>
      <w:bookmarkEnd w:id="10"/>
    </w:p>
    <w:p>
      <w:pPr>
        <w:pStyle w:val="33"/>
        <w:spacing w:before="72" w:after="72"/>
        <w:jc w:val="both"/>
      </w:pPr>
      <w:bookmarkStart w:id="11" w:name="_Toc21443"/>
      <w:bookmarkStart w:id="12" w:name="_Toc9119"/>
      <w:r>
        <w:rPr>
          <w:rFonts w:hint="eastAsia"/>
        </w:rPr>
        <w:t>Option 2: T</w:t>
      </w:r>
      <w:r>
        <w:rPr>
          <w:rFonts w:hint="eastAsia" w:eastAsia="微软雅黑"/>
        </w:rPr>
        <w:t xml:space="preserve">he </w:t>
      </w:r>
      <w:r>
        <w:rPr>
          <w:rFonts w:hint="eastAsia"/>
        </w:rPr>
        <w:t xml:space="preserve">UE reports multiple functionalities for the same AI/ML-enabled feature. Each of the functionality and its values of conditions are reported by </w:t>
      </w:r>
      <w:r>
        <w:rPr>
          <w:rFonts w:hint="eastAsia" w:eastAsia="微软雅黑"/>
        </w:rPr>
        <w:t xml:space="preserve">the </w:t>
      </w:r>
      <w:r>
        <w:rPr>
          <w:rFonts w:hint="eastAsia"/>
        </w:rPr>
        <w:t>UE capability.</w:t>
      </w:r>
      <w:bookmarkEnd w:id="11"/>
      <w:bookmarkEnd w:id="12"/>
    </w:p>
    <w:p>
      <w:pPr>
        <w:pStyle w:val="33"/>
        <w:spacing w:before="72" w:after="72"/>
        <w:jc w:val="both"/>
      </w:pPr>
      <w:bookmarkStart w:id="13" w:name="_Toc8999"/>
      <w:bookmarkStart w:id="14" w:name="_Toc6871"/>
      <w:r>
        <w:rPr>
          <w:rFonts w:hint="eastAsia"/>
        </w:rPr>
        <w:t xml:space="preserve">Option 3: In the UE capability report, </w:t>
      </w:r>
      <w:r>
        <w:rPr>
          <w:rFonts w:hint="eastAsia" w:eastAsia="微软雅黑"/>
        </w:rPr>
        <w:t xml:space="preserve">the </w:t>
      </w:r>
      <w:r>
        <w:rPr>
          <w:rFonts w:hint="eastAsia"/>
        </w:rPr>
        <w:t>UE indicates all supported candidate values for each condition/component of an AI/ML-enabled feature as legacy. After the UE capability report, the functionality can be further reported by UE or configured by NW via model transfer.</w:t>
      </w:r>
      <w:bookmarkEnd w:id="13"/>
      <w:bookmarkEnd w:id="14"/>
    </w:p>
    <w:p>
      <w:pPr>
        <w:pStyle w:val="30"/>
        <w:spacing w:before="72" w:after="72"/>
        <w:jc w:val="both"/>
        <w:rPr>
          <w:lang w:val="en-US"/>
        </w:rPr>
      </w:pPr>
      <w:bookmarkStart w:id="15" w:name="_Toc19316"/>
      <w:r>
        <w:rPr>
          <w:rFonts w:hint="eastAsia"/>
          <w:lang w:val="en-US"/>
        </w:rPr>
        <w:t xml:space="preserve">Support to define functionality ID to differentiate functionalities supported by </w:t>
      </w:r>
      <w:r>
        <w:rPr>
          <w:rFonts w:hint="eastAsia" w:eastAsia="微软雅黑"/>
          <w:lang w:val="en-US"/>
        </w:rPr>
        <w:t xml:space="preserve">the </w:t>
      </w:r>
      <w:r>
        <w:rPr>
          <w:rFonts w:hint="eastAsia"/>
          <w:lang w:val="en-US"/>
        </w:rPr>
        <w:t>UE, where different functionality IDs may be associated with different configurations indicated in conditions.</w:t>
      </w:r>
      <w:bookmarkEnd w:id="15"/>
    </w:p>
    <w:p>
      <w:pPr>
        <w:snapToGrid w:val="0"/>
        <w:spacing w:before="72" w:beforeLines="30" w:after="72" w:afterLines="30" w:line="288" w:lineRule="auto"/>
        <w:rPr>
          <w:rFonts w:eastAsia="宋体"/>
          <w:sz w:val="21"/>
          <w:szCs w:val="21"/>
        </w:rPr>
      </w:pPr>
    </w:p>
    <w:p>
      <w:pPr>
        <w:pStyle w:val="3"/>
      </w:pPr>
      <w:r>
        <w:t xml:space="preserve">A unified </w:t>
      </w:r>
      <w:r>
        <w:rPr>
          <w:rFonts w:hint="eastAsia"/>
        </w:rPr>
        <w:t>solution for LCM</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7"/>
              <w:widowControl/>
              <w:numPr>
                <w:ilvl w:val="2"/>
                <w:numId w:val="0"/>
              </w:numPr>
              <w:spacing w:before="72" w:beforeLines="30" w:after="72" w:afterLines="30" w:line="288" w:lineRule="auto"/>
              <w:outlineLvl w:val="5"/>
              <w:rPr>
                <w:rFonts w:ascii="Times New Roman" w:hAnsi="Times New Roman" w:cs="Times New Roman"/>
                <w:kern w:val="0"/>
                <w:sz w:val="20"/>
                <w:szCs w:val="20"/>
                <w:u w:val="single"/>
              </w:rPr>
            </w:pPr>
            <w:r>
              <w:rPr>
                <w:rFonts w:ascii="Times New Roman" w:hAnsi="Times New Roman" w:cs="Times New Roman"/>
                <w:sz w:val="20"/>
                <w:szCs w:val="20"/>
                <w:u w:val="single"/>
              </w:rPr>
              <w:t>[FL6] Proposal 6-10e</w:t>
            </w:r>
            <w:r>
              <w:rPr>
                <w:rFonts w:hint="eastAsia" w:ascii="Times New Roman" w:hAnsi="Times New Roman" w:cs="Times New Roman"/>
                <w:sz w:val="20"/>
                <w:szCs w:val="20"/>
                <w:u w:val="single"/>
              </w:rPr>
              <w:t xml:space="preserve"> (RAN1#112bis-e)</w:t>
            </w:r>
            <w:r>
              <w:rPr>
                <w:rFonts w:ascii="Times New Roman" w:hAnsi="Times New Roman" w:cs="Times New Roman"/>
                <w:sz w:val="20"/>
                <w:szCs w:val="20"/>
                <w:u w:val="single"/>
              </w:rPr>
              <w:t>:</w:t>
            </w:r>
          </w:p>
          <w:p>
            <w:pPr>
              <w:widowControl/>
              <w:spacing w:before="72" w:beforeLines="30" w:after="72" w:afterLines="30" w:line="288" w:lineRule="auto"/>
            </w:pPr>
            <w:r>
              <w:t>It is clarified that an index for a model may be created/used for model control purposes after model identification.</w:t>
            </w:r>
          </w:p>
          <w:p>
            <w:pPr>
              <w:pStyle w:val="60"/>
              <w:widowControl/>
              <w:numPr>
                <w:ilvl w:val="0"/>
                <w:numId w:val="20"/>
              </w:numPr>
              <w:spacing w:before="72" w:beforeLines="30" w:beforeAutospacing="0" w:after="72" w:afterLines="30" w:afterAutospacing="0" w:line="288" w:lineRule="auto"/>
              <w:ind w:left="400" w:leftChars="0"/>
              <w:jc w:val="both"/>
              <w:rPr>
                <w:rFonts w:ascii="Times New Roman" w:hAnsi="Times New Roman"/>
              </w:rPr>
            </w:pPr>
            <w:r>
              <w:rPr>
                <w:rFonts w:ascii="Times New Roman" w:hAnsi="Times New Roman"/>
              </w:rPr>
              <w:t xml:space="preserve">For example, an </w:t>
            </w:r>
            <w:r>
              <w:rPr>
                <w:rFonts w:hint="eastAsia" w:ascii="Times New Roman" w:hAnsi="Times New Roman" w:eastAsia="宋体"/>
              </w:rPr>
              <w:t>i</w:t>
            </w:r>
            <w:r>
              <w:rPr>
                <w:rFonts w:ascii="Times New Roman" w:hAnsi="Times New Roman"/>
              </w:rPr>
              <w:t>ndex may be temporarily allocated for an identified model between NW and UE and utilized for various LCM signaling purposes such as activation/deactivation/selection/switching.</w:t>
            </w:r>
          </w:p>
          <w:p>
            <w:pPr>
              <w:widowControl w:val="0"/>
              <w:snapToGrid w:val="0"/>
              <w:spacing w:before="72" w:beforeLines="30" w:after="72" w:afterLines="30" w:line="288" w:lineRule="auto"/>
              <w:rPr>
                <w:rFonts w:eastAsia="宋体"/>
              </w:rPr>
            </w:pPr>
          </w:p>
          <w:p>
            <w:pPr>
              <w:keepNext/>
              <w:keepLines/>
              <w:widowControl w:val="0"/>
              <w:overflowPunct w:val="0"/>
              <w:autoSpaceDE w:val="0"/>
              <w:autoSpaceDN w:val="0"/>
              <w:adjustRightInd w:val="0"/>
              <w:spacing w:before="72" w:beforeLines="30" w:after="72" w:afterLines="30" w:line="288" w:lineRule="auto"/>
              <w:ind w:left="1152" w:hanging="1152"/>
              <w:textAlignment w:val="baseline"/>
              <w:outlineLvl w:val="5"/>
              <w:rPr>
                <w:b/>
                <w:bCs/>
                <w:u w:val="single"/>
              </w:rPr>
            </w:pPr>
            <w:r>
              <w:rPr>
                <w:b/>
                <w:bCs/>
                <w:u w:val="single"/>
              </w:rPr>
              <w:t>[FL6] Proposal 6-13f</w:t>
            </w:r>
            <w:r>
              <w:rPr>
                <w:rFonts w:hint="eastAsia" w:eastAsia="宋体"/>
                <w:b/>
                <w:bCs/>
                <w:u w:val="single"/>
              </w:rPr>
              <w:t xml:space="preserve"> (</w:t>
            </w:r>
            <w:r>
              <w:rPr>
                <w:rFonts w:hint="eastAsia"/>
                <w:b/>
                <w:bCs/>
                <w:u w:val="single"/>
              </w:rPr>
              <w:t>RAN1#112bis-e</w:t>
            </w:r>
            <w:r>
              <w:rPr>
                <w:rFonts w:hint="eastAsia" w:eastAsia="宋体"/>
                <w:b/>
                <w:bCs/>
                <w:u w:val="single"/>
              </w:rPr>
              <w:t>)</w:t>
            </w:r>
            <w:r>
              <w:rPr>
                <w:rFonts w:hint="eastAsia"/>
                <w:b/>
                <w:bCs/>
                <w:u w:val="single"/>
              </w:rPr>
              <w:t>:</w:t>
            </w:r>
          </w:p>
          <w:p>
            <w:pPr>
              <w:widowControl/>
              <w:spacing w:before="72" w:beforeLines="30" w:after="72" w:afterLines="30" w:line="288" w:lineRule="auto"/>
              <w:rPr>
                <w:strike/>
              </w:rPr>
            </w:pPr>
            <w:r>
              <w:t>A logical ID may be used to indicate compatibility between UE-part and NW- part of a two-sided model</w:t>
            </w:r>
          </w:p>
          <w:p>
            <w:pPr>
              <w:widowControl/>
              <w:numPr>
                <w:ilvl w:val="0"/>
                <w:numId w:val="21"/>
              </w:numPr>
              <w:spacing w:before="72" w:beforeLines="30" w:after="72" w:afterLines="30" w:line="288" w:lineRule="auto"/>
              <w:jc w:val="left"/>
            </w:pPr>
            <w:r>
              <w:t>FFS: The logical ID may serve as a model ID in model-ID-based LCM.</w:t>
            </w:r>
          </w:p>
          <w:p>
            <w:pPr>
              <w:widowControl w:val="0"/>
              <w:spacing w:before="72" w:beforeLines="30" w:after="72" w:afterLines="30" w:line="288" w:lineRule="auto"/>
            </w:pPr>
            <w:r>
              <w:t>FFS: Applicability to functionality-based LCM</w:t>
            </w:r>
          </w:p>
          <w:p>
            <w:pPr>
              <w:widowControl w:val="0"/>
              <w:spacing w:before="72" w:beforeLines="30" w:after="72" w:afterLines="30" w:line="288" w:lineRule="auto"/>
            </w:pPr>
          </w:p>
          <w:p>
            <w:pPr>
              <w:widowControl w:val="0"/>
              <w:spacing w:before="72" w:beforeLines="30" w:after="72" w:afterLines="30" w:line="288" w:lineRule="auto"/>
              <w:rPr>
                <w:rFonts w:eastAsia="宋体"/>
                <w:b/>
                <w:bCs/>
                <w:u w:val="single"/>
              </w:rPr>
            </w:pPr>
            <w:r>
              <w:rPr>
                <w:b/>
                <w:bCs/>
                <w:u w:val="single"/>
              </w:rPr>
              <w:t>Agreement</w:t>
            </w:r>
            <w:r>
              <w:rPr>
                <w:rFonts w:hint="eastAsia" w:eastAsia="宋体"/>
                <w:b/>
                <w:bCs/>
                <w:u w:val="single"/>
              </w:rPr>
              <w:t>(RAN1#113):</w:t>
            </w:r>
          </w:p>
          <w:p>
            <w:pPr>
              <w:widowControl w:val="0"/>
              <w:spacing w:before="72" w:beforeLines="30" w:after="72" w:afterLines="30" w:line="288" w:lineRule="auto"/>
            </w:pPr>
            <w:r>
              <w:t>For functionality/model-ID based LCM,</w:t>
            </w:r>
          </w:p>
          <w:p>
            <w:pPr>
              <w:widowControl w:val="0"/>
              <w:numPr>
                <w:ilvl w:val="0"/>
                <w:numId w:val="22"/>
              </w:numPr>
              <w:spacing w:before="72" w:beforeLines="30" w:after="72" w:afterLines="30" w:line="288" w:lineRule="auto"/>
            </w:pPr>
            <w:r>
              <w:t>Once functionalities/models are identified, the same or similar procedures may be used for their activation, deactivation, switching, fallback, and monitoring.</w:t>
            </w:r>
          </w:p>
          <w:p>
            <w:pPr>
              <w:widowControl w:val="0"/>
              <w:spacing w:before="72" w:beforeLines="30" w:after="72" w:afterLines="30" w:line="288" w:lineRule="auto"/>
            </w:pPr>
          </w:p>
          <w:p>
            <w:pPr>
              <w:widowControl w:val="0"/>
              <w:spacing w:before="72" w:beforeLines="30" w:after="72" w:afterLines="30" w:line="288" w:lineRule="auto"/>
              <w:rPr>
                <w:rFonts w:eastAsia="宋体" w:cs="等线"/>
                <w:b/>
                <w:bCs/>
                <w:u w:val="single"/>
              </w:rPr>
            </w:pPr>
            <w:r>
              <w:rPr>
                <w:rFonts w:cs="等线"/>
                <w:b/>
                <w:bCs/>
                <w:u w:val="single"/>
              </w:rPr>
              <w:t>Agreement</w:t>
            </w:r>
            <w:r>
              <w:rPr>
                <w:rFonts w:hint="eastAsia" w:eastAsia="宋体" w:cs="等线"/>
                <w:b/>
                <w:bCs/>
                <w:u w:val="single"/>
              </w:rPr>
              <w:t xml:space="preserve"> (RAN1#114):</w:t>
            </w:r>
          </w:p>
          <w:p>
            <w:pPr>
              <w:widowControl w:val="0"/>
              <w:numPr>
                <w:ilvl w:val="0"/>
                <w:numId w:val="23"/>
              </w:numPr>
              <w:spacing w:before="72" w:beforeLines="30" w:after="72" w:afterLines="30" w:line="288" w:lineRule="auto"/>
              <w:rPr>
                <w:rFonts w:cs="等线"/>
              </w:rPr>
            </w:pPr>
            <w:r>
              <w:rPr>
                <w:rFonts w:cs="等线"/>
              </w:rPr>
              <w:t xml:space="preserve">Model ID in RAN1 discussion may or may not be globally unique, and different types of model IDs may be created for a single model for various LCM purposes. </w:t>
            </w:r>
          </w:p>
          <w:p>
            <w:pPr>
              <w:widowControl w:val="0"/>
              <w:numPr>
                <w:ilvl w:val="0"/>
                <w:numId w:val="23"/>
              </w:numPr>
              <w:spacing w:before="72" w:beforeLines="30" w:after="72" w:afterLines="30" w:line="288" w:lineRule="auto"/>
            </w:pPr>
            <w:r>
              <w:rPr>
                <w:rFonts w:cs="等线"/>
              </w:rPr>
              <w:t>Note: Details can be studied in the WI phase.</w:t>
            </w:r>
          </w:p>
          <w:p>
            <w:pPr>
              <w:widowControl w:val="0"/>
              <w:spacing w:before="72" w:beforeLines="30" w:after="72" w:afterLines="30" w:line="288" w:lineRule="auto"/>
              <w:rPr>
                <w:rFonts w:cs="等线"/>
              </w:rPr>
            </w:pPr>
          </w:p>
          <w:p>
            <w:pPr>
              <w:widowControl w:val="0"/>
              <w:spacing w:before="72" w:beforeLines="30" w:after="72" w:afterLines="30" w:line="288" w:lineRule="auto"/>
              <w:rPr>
                <w:rFonts w:eastAsia="宋体" w:cs="等线"/>
                <w:b/>
                <w:bCs/>
                <w:u w:val="single"/>
              </w:rPr>
            </w:pPr>
            <w:r>
              <w:rPr>
                <w:rFonts w:cs="等线"/>
                <w:b/>
                <w:bCs/>
                <w:u w:val="single"/>
              </w:rPr>
              <w:t>Agreement</w:t>
            </w:r>
            <w:r>
              <w:rPr>
                <w:rFonts w:hint="eastAsia" w:eastAsia="宋体" w:cs="等线"/>
                <w:b/>
                <w:bCs/>
                <w:u w:val="single"/>
              </w:rPr>
              <w:t xml:space="preserve"> (RAN1#114bis):</w:t>
            </w:r>
          </w:p>
          <w:p>
            <w:pPr>
              <w:widowControl w:val="0"/>
              <w:spacing w:before="72" w:beforeLines="30" w:after="72" w:afterLines="30" w:line="288" w:lineRule="auto"/>
              <w:rPr>
                <w:rFonts w:cs="等线"/>
              </w:rPr>
            </w:pPr>
            <w:r>
              <w:rPr>
                <w:rFonts w:hint="eastAsia" w:cs="等线"/>
              </w:rPr>
              <w:t>Model-ID, if needed, can be used in a Functionality (defined in functionality-based LCM) for LCM operations.</w:t>
            </w:r>
          </w:p>
        </w:tc>
      </w:tr>
    </w:tbl>
    <w:p>
      <w:pPr>
        <w:snapToGrid w:val="0"/>
        <w:spacing w:before="72" w:beforeLines="30" w:after="72" w:afterLines="30" w:line="288" w:lineRule="auto"/>
        <w:rPr>
          <w:rFonts w:eastAsia="宋体"/>
        </w:rPr>
      </w:pPr>
      <w:r>
        <w:rPr>
          <w:rFonts w:hint="eastAsia" w:eastAsia="宋体"/>
        </w:rPr>
        <w:t xml:space="preserve">As agreed in RAN1#114 and RAN1#114bis meetings, model ID in RAN1 discussion may or may not be </w:t>
      </w:r>
      <w:r>
        <w:rPr>
          <w:rFonts w:eastAsia="宋体"/>
        </w:rPr>
        <w:t>‘</w:t>
      </w:r>
      <w:r>
        <w:rPr>
          <w:rFonts w:hint="eastAsia" w:eastAsia="宋体"/>
        </w:rPr>
        <w:t>globally</w:t>
      </w:r>
      <w:r>
        <w:rPr>
          <w:rFonts w:eastAsia="宋体"/>
        </w:rPr>
        <w:t>’</w:t>
      </w:r>
      <w:r>
        <w:rPr>
          <w:rFonts w:hint="eastAsia" w:eastAsia="宋体"/>
        </w:rPr>
        <w:t xml:space="preserve"> unique, and different types of model IDs may be created for a single model for various LCM purposes. To our understanding, the </w:t>
      </w:r>
      <w:r>
        <w:rPr>
          <w:rFonts w:eastAsia="宋体"/>
        </w:rPr>
        <w:t>‘</w:t>
      </w:r>
      <w:r>
        <w:rPr>
          <w:rFonts w:hint="eastAsia" w:eastAsia="宋体"/>
        </w:rPr>
        <w:t>globally</w:t>
      </w:r>
      <w:r>
        <w:rPr>
          <w:rFonts w:eastAsia="宋体"/>
        </w:rPr>
        <w:t>’</w:t>
      </w:r>
      <w:r>
        <w:rPr>
          <w:rFonts w:hint="eastAsia" w:eastAsia="宋体"/>
        </w:rPr>
        <w:t xml:space="preserve"> unique model ID is determined/assigned during the model identification process. After the model identification process, </w:t>
      </w:r>
      <w:r>
        <w:rPr>
          <w:rFonts w:hint="eastAsia" w:eastAsia="微软雅黑"/>
        </w:rPr>
        <w:t xml:space="preserve">the </w:t>
      </w:r>
      <w:r>
        <w:rPr>
          <w:rFonts w:hint="eastAsia" w:eastAsia="宋体"/>
        </w:rPr>
        <w:t xml:space="preserve">UE may report the supported model IDs via UE capability or other dynamic mechanisms by referring to the </w:t>
      </w:r>
      <w:r>
        <w:rPr>
          <w:rFonts w:eastAsia="宋体"/>
        </w:rPr>
        <w:t>‘</w:t>
      </w:r>
      <w:r>
        <w:rPr>
          <w:rFonts w:hint="eastAsia" w:eastAsia="宋体"/>
        </w:rPr>
        <w:t>globally</w:t>
      </w:r>
      <w:r>
        <w:rPr>
          <w:rFonts w:eastAsia="宋体"/>
        </w:rPr>
        <w:t>’</w:t>
      </w:r>
      <w:r>
        <w:rPr>
          <w:rFonts w:hint="eastAsia" w:eastAsia="宋体"/>
        </w:rPr>
        <w:t xml:space="preserve"> unique IDs. Then, </w:t>
      </w:r>
      <w:r>
        <w:rPr>
          <w:rFonts w:hint="eastAsia" w:eastAsia="微软雅黑"/>
        </w:rPr>
        <w:t xml:space="preserve">the </w:t>
      </w:r>
      <w:r>
        <w:rPr>
          <w:rFonts w:hint="eastAsia" w:eastAsia="宋体"/>
        </w:rPr>
        <w:t xml:space="preserve">network may inform </w:t>
      </w:r>
      <w:r>
        <w:rPr>
          <w:rFonts w:hint="eastAsia" w:eastAsia="微软雅黑"/>
        </w:rPr>
        <w:t xml:space="preserve">the </w:t>
      </w:r>
      <w:r>
        <w:rPr>
          <w:rFonts w:hint="eastAsia" w:eastAsia="宋体"/>
        </w:rPr>
        <w:t xml:space="preserve">UE about the mapping from the </w:t>
      </w:r>
      <w:r>
        <w:rPr>
          <w:rFonts w:eastAsia="宋体"/>
        </w:rPr>
        <w:t>‘</w:t>
      </w:r>
      <w:r>
        <w:rPr>
          <w:rFonts w:hint="eastAsia" w:eastAsia="宋体"/>
        </w:rPr>
        <w:t>globally</w:t>
      </w:r>
      <w:r>
        <w:rPr>
          <w:rFonts w:eastAsia="宋体"/>
        </w:rPr>
        <w:t>’</w:t>
      </w:r>
      <w:r>
        <w:rPr>
          <w:rFonts w:hint="eastAsia" w:eastAsia="宋体"/>
        </w:rPr>
        <w:t xml:space="preserve"> unique model ID to a local ID and use the local ID to facilitate model activation, deactivation, switching, fallback, and monitoring for reducing the model ID based signaling overhead. </w:t>
      </w:r>
    </w:p>
    <w:p>
      <w:pPr>
        <w:snapToGrid w:val="0"/>
        <w:spacing w:before="72" w:beforeLines="30" w:after="72" w:afterLines="30" w:line="288" w:lineRule="auto"/>
        <w:jc w:val="both"/>
        <w:rPr>
          <w:rFonts w:eastAsia="宋体"/>
        </w:rPr>
      </w:pPr>
      <w:r>
        <w:rPr>
          <w:rFonts w:hint="eastAsia" w:eastAsia="宋体"/>
        </w:rPr>
        <w:t xml:space="preserve">As model-ID (if needed) can be used in a Functionality (defined in functionality-based LCM) for LCM operations, an unified signaling framework can be obtained </w:t>
      </w:r>
      <w:r>
        <w:rPr>
          <w:rFonts w:hint="eastAsia" w:eastAsia="微软雅黑"/>
        </w:rPr>
        <w:t>for the purpose of simplifying the signaling framework and avoiding unnecessary spec effort.</w:t>
      </w:r>
      <w:r>
        <w:rPr>
          <w:rFonts w:hint="eastAsia" w:eastAsia="宋体"/>
        </w:rPr>
        <w:t xml:space="preserve"> Specifically, the functionality is associated with specific configurations/conditions associated with UE capability of an AI/ML-enabled Feature/FG. The functionality may or may not be associated with model ID(s) identified between UE and NW. If there are no associated model ID(s) under a functionality, it </w:t>
      </w:r>
      <w:r>
        <w:rPr>
          <w:rFonts w:hint="eastAsia" w:cs="宋体"/>
        </w:rPr>
        <w:t xml:space="preserve">normally </w:t>
      </w:r>
      <w:r>
        <w:rPr>
          <w:rFonts w:hint="eastAsia" w:eastAsia="宋体"/>
        </w:rPr>
        <w:t>implies that the functionality can be workable for any additional conditions before the UE reporting of applicable functionalities. If there are one or multiple associated model ID(s)</w:t>
      </w:r>
      <w:r>
        <w:rPr>
          <w:rFonts w:hint="eastAsia" w:eastAsia="宋体"/>
          <w:lang w:val="en-US" w:eastAsia="zh-CN"/>
        </w:rPr>
        <w:t xml:space="preserve"> (if needed) </w:t>
      </w:r>
      <w:r>
        <w:rPr>
          <w:rFonts w:hint="eastAsia" w:eastAsia="宋体"/>
        </w:rPr>
        <w:t xml:space="preserve">under a functionality, different model IDs would be associated with different additional conditions (e.g., scenarios, sites, and datasets) as determined/identified between UE-side and NW-side. In this case, the NW can indicate the model ID for inference whose underlying additional conditions are the best match for the current NW-side settings. </w:t>
      </w:r>
      <w:r>
        <w:rPr>
          <w:rFonts w:hint="eastAsia" w:eastAsia="微软雅黑"/>
        </w:rPr>
        <w:t>Additionally</w:t>
      </w:r>
      <w:r>
        <w:rPr>
          <w:rFonts w:hint="eastAsia" w:eastAsia="宋体"/>
        </w:rPr>
        <w:t xml:space="preserve">, either a functionality or an identified model should be allocated with a local ID to reduce the signaling overhead. From network perspective, the local ID is just a function unit operated at </w:t>
      </w:r>
      <w:r>
        <w:rPr>
          <w:rFonts w:hint="eastAsia" w:eastAsia="微软雅黑"/>
        </w:rPr>
        <w:t xml:space="preserve">the </w:t>
      </w:r>
      <w:r>
        <w:rPr>
          <w:rFonts w:hint="eastAsia" w:eastAsia="宋体"/>
        </w:rPr>
        <w:t xml:space="preserve">UE side that is not transparent to </w:t>
      </w:r>
      <w:r>
        <w:rPr>
          <w:rFonts w:hint="eastAsia" w:eastAsia="微软雅黑"/>
        </w:rPr>
        <w:t xml:space="preserve">the </w:t>
      </w:r>
      <w:r>
        <w:rPr>
          <w:rFonts w:hint="eastAsia" w:eastAsia="宋体"/>
        </w:rPr>
        <w:t xml:space="preserve">network, which can be adopted to facilitate the indication of </w:t>
      </w:r>
      <w:r>
        <w:rPr>
          <w:rFonts w:hint="eastAsia" w:eastAsia="微软雅黑"/>
        </w:rPr>
        <w:t>model/functionality activation, deactivation, switching, fallback, and monitoring.</w:t>
      </w:r>
      <w:r>
        <w:rPr>
          <w:rFonts w:hint="eastAsia" w:eastAsia="宋体"/>
        </w:rPr>
        <w:t xml:space="preserve"> </w:t>
      </w:r>
    </w:p>
    <w:p>
      <w:pPr>
        <w:pStyle w:val="30"/>
        <w:spacing w:before="72" w:after="72"/>
        <w:jc w:val="both"/>
        <w:rPr>
          <w:lang w:val="en-US"/>
        </w:rPr>
      </w:pPr>
      <w:bookmarkStart w:id="16" w:name="_Toc8941"/>
      <w:bookmarkStart w:id="17" w:name="_Toc24585"/>
      <w:bookmarkStart w:id="18" w:name="_Toc13597"/>
      <w:bookmarkStart w:id="19" w:name="_Toc9495"/>
      <w:r>
        <w:rPr>
          <w:rFonts w:hint="eastAsia"/>
          <w:lang w:val="en-US"/>
        </w:rPr>
        <w:t>Clarify the following understandings for model ID in Rel-18:</w:t>
      </w:r>
      <w:bookmarkEnd w:id="16"/>
    </w:p>
    <w:p>
      <w:pPr>
        <w:pStyle w:val="33"/>
        <w:spacing w:before="72" w:after="72"/>
        <w:jc w:val="both"/>
      </w:pPr>
      <w:bookmarkStart w:id="20" w:name="_Toc11189"/>
      <w:r>
        <w:rPr>
          <w:rFonts w:hint="eastAsia"/>
        </w:rPr>
        <w:t xml:space="preserve">A </w:t>
      </w:r>
      <w:r>
        <w:t>‘</w:t>
      </w:r>
      <w:r>
        <w:rPr>
          <w:rFonts w:hint="eastAsia"/>
        </w:rPr>
        <w:t>globally</w:t>
      </w:r>
      <w:r>
        <w:t>’</w:t>
      </w:r>
      <w:r>
        <w:rPr>
          <w:rFonts w:hint="eastAsia"/>
        </w:rPr>
        <w:t xml:space="preserve"> unique model ID is determined/assigned during the model identification process;</w:t>
      </w:r>
      <w:bookmarkEnd w:id="20"/>
    </w:p>
    <w:p>
      <w:pPr>
        <w:pStyle w:val="33"/>
        <w:spacing w:before="72" w:after="72"/>
        <w:jc w:val="both"/>
      </w:pPr>
      <w:bookmarkStart w:id="21" w:name="_Toc25318"/>
      <w:r>
        <w:rPr>
          <w:rFonts w:hint="eastAsia"/>
        </w:rPr>
        <w:t xml:space="preserve">After the model identification process, UE may report the supported model IDs by referring to the </w:t>
      </w:r>
      <w:r>
        <w:t>‘</w:t>
      </w:r>
      <w:r>
        <w:rPr>
          <w:rFonts w:hint="eastAsia"/>
        </w:rPr>
        <w:t>globally</w:t>
      </w:r>
      <w:r>
        <w:t>’</w:t>
      </w:r>
      <w:r>
        <w:rPr>
          <w:rFonts w:hint="eastAsia"/>
        </w:rPr>
        <w:t xml:space="preserve"> unique IDs;</w:t>
      </w:r>
      <w:bookmarkEnd w:id="21"/>
    </w:p>
    <w:p>
      <w:pPr>
        <w:pStyle w:val="33"/>
        <w:spacing w:before="72" w:after="72"/>
        <w:jc w:val="both"/>
      </w:pPr>
      <w:bookmarkStart w:id="22" w:name="_Toc24866"/>
      <w:r>
        <w:rPr>
          <w:rFonts w:hint="eastAsia"/>
        </w:rPr>
        <w:t>In order to reduce the signaling overhead, network may use a local ID to indicate model activation, deactivation, switching, fallback, and monitoring after the UE capability report;</w:t>
      </w:r>
      <w:bookmarkEnd w:id="22"/>
    </w:p>
    <w:p>
      <w:pPr>
        <w:pStyle w:val="33"/>
        <w:spacing w:before="72" w:after="72"/>
        <w:jc w:val="both"/>
      </w:pPr>
      <w:bookmarkStart w:id="23" w:name="_Toc29110"/>
      <w:r>
        <w:rPr>
          <w:rFonts w:hint="eastAsia"/>
        </w:rPr>
        <w:t xml:space="preserve">Network should inform UE about the mapping from the </w:t>
      </w:r>
      <w:r>
        <w:t>‘</w:t>
      </w:r>
      <w:r>
        <w:rPr>
          <w:rFonts w:hint="eastAsia"/>
        </w:rPr>
        <w:t>globally</w:t>
      </w:r>
      <w:r>
        <w:t>’</w:t>
      </w:r>
      <w:r>
        <w:rPr>
          <w:rFonts w:hint="eastAsia"/>
        </w:rPr>
        <w:t xml:space="preserve"> unique model ID to the local ID.</w:t>
      </w:r>
      <w:bookmarkEnd w:id="23"/>
    </w:p>
    <w:bookmarkEnd w:id="17"/>
    <w:bookmarkEnd w:id="18"/>
    <w:bookmarkEnd w:id="19"/>
    <w:p>
      <w:pPr>
        <w:pStyle w:val="30"/>
        <w:spacing w:before="72" w:after="72"/>
        <w:jc w:val="both"/>
        <w:rPr>
          <w:lang w:val="en-US"/>
        </w:rPr>
      </w:pPr>
      <w:r>
        <w:rPr>
          <w:rFonts w:hint="eastAsia"/>
          <w:lang w:val="en-US"/>
        </w:rPr>
        <w:t>The functionality may or may not be associated with model ID(s) identified between UE and NW. If there are no associated model ID(s) under a functionality, it normally implies that the functionality can be workable for any additional conditions (if identified) before the UE reporting of applicable functionalities.</w:t>
      </w:r>
    </w:p>
    <w:p>
      <w:pPr>
        <w:pStyle w:val="30"/>
        <w:numPr>
          <w:ilvl w:val="0"/>
          <w:numId w:val="0"/>
        </w:numPr>
        <w:spacing w:before="72" w:after="72"/>
        <w:rPr>
          <w:lang w:val="en-US"/>
        </w:rPr>
      </w:pPr>
    </w:p>
    <w:p>
      <w:pPr>
        <w:pStyle w:val="2"/>
        <w:spacing w:before="72" w:beforeLines="30" w:after="72" w:afterLines="30" w:line="288" w:lineRule="auto"/>
      </w:pPr>
      <w:r>
        <w:rPr>
          <w:rFonts w:hint="eastAsia"/>
        </w:rPr>
        <w:t>Model transfer/delivery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spacing w:before="72" w:beforeLines="30" w:after="72" w:afterLines="30" w:line="288" w:lineRule="auto"/>
              <w:rPr>
                <w:rFonts w:eastAsia="等线"/>
                <w:b/>
                <w:u w:val="single"/>
              </w:rPr>
            </w:pPr>
            <w:r>
              <w:rPr>
                <w:rFonts w:eastAsia="等线"/>
                <w:b/>
                <w:u w:val="single"/>
              </w:rPr>
              <w:t xml:space="preserve">Agreement </w:t>
            </w:r>
            <w:r>
              <w:rPr>
                <w:rFonts w:hint="eastAsia" w:eastAsia="等线"/>
                <w:b/>
                <w:u w:val="single"/>
              </w:rPr>
              <w:t>(</w:t>
            </w:r>
            <w:r>
              <w:rPr>
                <w:rFonts w:eastAsia="等线"/>
                <w:b/>
                <w:u w:val="single"/>
              </w:rPr>
              <w:t>RAN1#11</w:t>
            </w:r>
            <w:r>
              <w:rPr>
                <w:rFonts w:hint="eastAsia" w:eastAsia="等线"/>
                <w:b/>
                <w:u w:val="single"/>
              </w:rPr>
              <w:t>2)</w:t>
            </w:r>
            <w:r>
              <w:rPr>
                <w:rFonts w:eastAsia="等线"/>
                <w:b/>
                <w:u w:val="single"/>
              </w:rPr>
              <w:t>:</w:t>
            </w:r>
          </w:p>
          <w:p>
            <w:pPr>
              <w:widowControl/>
              <w:spacing w:before="72" w:beforeLines="30" w:after="72" w:afterLines="30" w:line="288" w:lineRule="auto"/>
              <w:rPr>
                <w:b/>
              </w:rPr>
            </w:pPr>
            <w:r>
              <w:rPr>
                <w:bCs/>
              </w:rPr>
              <w:t>To facilitate the discussion, consider at least the following Cases for model delivery/transfer to UE, training location, and model delivery/transfer format combinations for UE-side models and UE-part of two-sided models.</w:t>
            </w:r>
            <w:r>
              <w:rPr>
                <w:b/>
              </w:rPr>
              <w:t xml:space="preserve">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1"/>
              <w:gridCol w:w="3818"/>
              <w:gridCol w:w="2188"/>
              <w:gridCol w:w="2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spacing w:before="72" w:beforeLines="30" w:after="72" w:afterLines="30" w:line="288" w:lineRule="auto"/>
                    <w:rPr>
                      <w:b/>
                    </w:rPr>
                  </w:pPr>
                  <w:r>
                    <w:rPr>
                      <w:b/>
                    </w:rPr>
                    <w:t>Case</w:t>
                  </w:r>
                </w:p>
              </w:tc>
              <w:tc>
                <w:tcPr>
                  <w:tcW w:w="3924" w:type="dxa"/>
                  <w:shd w:val="clear" w:color="auto" w:fill="auto"/>
                </w:tcPr>
                <w:p>
                  <w:pPr>
                    <w:spacing w:before="72" w:beforeLines="30" w:after="72" w:afterLines="30" w:line="288" w:lineRule="auto"/>
                    <w:rPr>
                      <w:b/>
                    </w:rPr>
                  </w:pPr>
                  <w:r>
                    <w:rPr>
                      <w:b/>
                    </w:rPr>
                    <w:t>Model delivery/transfer</w:t>
                  </w:r>
                </w:p>
              </w:tc>
              <w:tc>
                <w:tcPr>
                  <w:tcW w:w="2250" w:type="dxa"/>
                  <w:shd w:val="clear" w:color="auto" w:fill="auto"/>
                </w:tcPr>
                <w:p>
                  <w:pPr>
                    <w:spacing w:before="72" w:beforeLines="30" w:after="72" w:afterLines="30" w:line="288" w:lineRule="auto"/>
                    <w:rPr>
                      <w:b/>
                    </w:rPr>
                  </w:pPr>
                  <w:r>
                    <w:rPr>
                      <w:b/>
                    </w:rPr>
                    <w:t>Model storage location</w:t>
                  </w:r>
                </w:p>
              </w:tc>
              <w:tc>
                <w:tcPr>
                  <w:tcW w:w="3060" w:type="dxa"/>
                  <w:shd w:val="clear" w:color="auto" w:fill="auto"/>
                </w:tcPr>
                <w:p>
                  <w:pPr>
                    <w:spacing w:before="72" w:beforeLines="30" w:after="72" w:afterLines="30" w:line="288" w:lineRule="auto"/>
                    <w:rPr>
                      <w:b/>
                    </w:rPr>
                  </w:pPr>
                  <w:r>
                    <w:rPr>
                      <w:b/>
                    </w:rPr>
                    <w:t>Training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spacing w:before="72" w:beforeLines="30" w:after="72" w:afterLines="30" w:line="288" w:lineRule="auto"/>
                    <w:rPr>
                      <w:b/>
                    </w:rPr>
                  </w:pPr>
                  <w:r>
                    <w:rPr>
                      <w:b/>
                    </w:rPr>
                    <w:t>y</w:t>
                  </w:r>
                </w:p>
              </w:tc>
              <w:tc>
                <w:tcPr>
                  <w:tcW w:w="3924" w:type="dxa"/>
                  <w:shd w:val="clear" w:color="auto" w:fill="auto"/>
                </w:tcPr>
                <w:p>
                  <w:pPr>
                    <w:spacing w:before="72" w:beforeLines="30" w:after="72" w:afterLines="30" w:line="288" w:lineRule="auto"/>
                  </w:pPr>
                  <w:r>
                    <w:t>model delivery (if needed) over-the-top</w:t>
                  </w:r>
                </w:p>
              </w:tc>
              <w:tc>
                <w:tcPr>
                  <w:tcW w:w="2250" w:type="dxa"/>
                  <w:shd w:val="clear" w:color="auto" w:fill="auto"/>
                </w:tcPr>
                <w:p>
                  <w:pPr>
                    <w:spacing w:before="72" w:beforeLines="30" w:after="72" w:afterLines="30" w:line="288" w:lineRule="auto"/>
                  </w:pPr>
                  <w:r>
                    <w:t>Outside 3gpp Network</w:t>
                  </w:r>
                </w:p>
              </w:tc>
              <w:tc>
                <w:tcPr>
                  <w:tcW w:w="3060" w:type="dxa"/>
                  <w:shd w:val="clear" w:color="auto" w:fill="auto"/>
                </w:tcPr>
                <w:p>
                  <w:pPr>
                    <w:spacing w:before="72" w:beforeLines="30" w:after="72" w:afterLines="30" w:line="288" w:lineRule="auto"/>
                  </w:pPr>
                  <w:r>
                    <w:t>UE-side / NW-side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spacing w:before="72" w:beforeLines="30" w:after="72" w:afterLines="30" w:line="288" w:lineRule="auto"/>
                    <w:rPr>
                      <w:b/>
                    </w:rPr>
                  </w:pPr>
                  <w:r>
                    <w:rPr>
                      <w:b/>
                    </w:rPr>
                    <w:t>z1</w:t>
                  </w:r>
                </w:p>
              </w:tc>
              <w:tc>
                <w:tcPr>
                  <w:tcW w:w="3924" w:type="dxa"/>
                  <w:shd w:val="clear" w:color="auto" w:fill="auto"/>
                </w:tcPr>
                <w:p>
                  <w:pPr>
                    <w:spacing w:before="72" w:beforeLines="30" w:after="72" w:afterLines="30" w:line="288" w:lineRule="auto"/>
                  </w:pPr>
                  <w:r>
                    <w:t>model transfer in proprietary format</w:t>
                  </w:r>
                </w:p>
              </w:tc>
              <w:tc>
                <w:tcPr>
                  <w:tcW w:w="2250" w:type="dxa"/>
                  <w:shd w:val="clear" w:color="auto" w:fill="auto"/>
                </w:tcPr>
                <w:p>
                  <w:pPr>
                    <w:spacing w:before="72" w:beforeLines="30" w:after="72" w:afterLines="30" w:line="288" w:lineRule="auto"/>
                  </w:pPr>
                  <w:r>
                    <w:t>3GPP Network</w:t>
                  </w:r>
                </w:p>
              </w:tc>
              <w:tc>
                <w:tcPr>
                  <w:tcW w:w="3060" w:type="dxa"/>
                  <w:shd w:val="clear" w:color="auto" w:fill="auto"/>
                </w:tcPr>
                <w:p>
                  <w:pPr>
                    <w:spacing w:before="72" w:beforeLines="30" w:after="72" w:afterLines="30" w:line="288" w:lineRule="auto"/>
                  </w:pPr>
                  <w: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spacing w:before="72" w:beforeLines="30" w:after="72" w:afterLines="30" w:line="288" w:lineRule="auto"/>
                    <w:rPr>
                      <w:b/>
                    </w:rPr>
                  </w:pPr>
                  <w:r>
                    <w:rPr>
                      <w:b/>
                    </w:rPr>
                    <w:t>z2</w:t>
                  </w:r>
                </w:p>
              </w:tc>
              <w:tc>
                <w:tcPr>
                  <w:tcW w:w="3924" w:type="dxa"/>
                  <w:shd w:val="clear" w:color="auto" w:fill="auto"/>
                </w:tcPr>
                <w:p>
                  <w:pPr>
                    <w:spacing w:before="72" w:beforeLines="30" w:after="72" w:afterLines="30" w:line="288" w:lineRule="auto"/>
                  </w:pPr>
                  <w:r>
                    <w:t>model transfer in proprietary format</w:t>
                  </w:r>
                </w:p>
              </w:tc>
              <w:tc>
                <w:tcPr>
                  <w:tcW w:w="2250" w:type="dxa"/>
                  <w:shd w:val="clear" w:color="auto" w:fill="auto"/>
                </w:tcPr>
                <w:p>
                  <w:pPr>
                    <w:spacing w:before="72" w:beforeLines="30" w:after="72" w:afterLines="30" w:line="288" w:lineRule="auto"/>
                  </w:pPr>
                  <w:r>
                    <w:t>3GPP Network</w:t>
                  </w:r>
                </w:p>
              </w:tc>
              <w:tc>
                <w:tcPr>
                  <w:tcW w:w="3060" w:type="dxa"/>
                  <w:shd w:val="clear" w:color="auto" w:fill="auto"/>
                </w:tcPr>
                <w:p>
                  <w:pPr>
                    <w:spacing w:before="72" w:beforeLines="30" w:after="72" w:afterLines="30" w:line="288" w:lineRule="auto"/>
                  </w:pPr>
                  <w: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spacing w:before="72" w:beforeLines="30" w:after="72" w:afterLines="30" w:line="288" w:lineRule="auto"/>
                    <w:rPr>
                      <w:b/>
                    </w:rPr>
                  </w:pPr>
                  <w:r>
                    <w:rPr>
                      <w:b/>
                    </w:rPr>
                    <w:t>z3</w:t>
                  </w:r>
                </w:p>
              </w:tc>
              <w:tc>
                <w:tcPr>
                  <w:tcW w:w="3924" w:type="dxa"/>
                  <w:shd w:val="clear" w:color="auto" w:fill="auto"/>
                </w:tcPr>
                <w:p>
                  <w:pPr>
                    <w:spacing w:before="72" w:beforeLines="30" w:after="72" w:afterLines="30" w:line="288" w:lineRule="auto"/>
                  </w:pPr>
                  <w:r>
                    <w:t>model transfer in open format</w:t>
                  </w:r>
                </w:p>
              </w:tc>
              <w:tc>
                <w:tcPr>
                  <w:tcW w:w="2250" w:type="dxa"/>
                  <w:shd w:val="clear" w:color="auto" w:fill="auto"/>
                </w:tcPr>
                <w:p>
                  <w:pPr>
                    <w:spacing w:before="72" w:beforeLines="30" w:after="72" w:afterLines="30" w:line="288" w:lineRule="auto"/>
                  </w:pPr>
                  <w:r>
                    <w:t>3GPP Network</w:t>
                  </w:r>
                </w:p>
              </w:tc>
              <w:tc>
                <w:tcPr>
                  <w:tcW w:w="3060" w:type="dxa"/>
                  <w:shd w:val="clear" w:color="auto" w:fill="auto"/>
                </w:tcPr>
                <w:p>
                  <w:pPr>
                    <w:spacing w:before="72" w:beforeLines="30" w:after="72" w:afterLines="30" w:line="288" w:lineRule="auto"/>
                  </w:pPr>
                  <w: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spacing w:before="72" w:beforeLines="30" w:after="72" w:afterLines="30" w:line="288" w:lineRule="auto"/>
                    <w:rPr>
                      <w:b/>
                    </w:rPr>
                  </w:pPr>
                  <w:r>
                    <w:rPr>
                      <w:b/>
                    </w:rPr>
                    <w:t>z4</w:t>
                  </w:r>
                </w:p>
              </w:tc>
              <w:tc>
                <w:tcPr>
                  <w:tcW w:w="3924" w:type="dxa"/>
                  <w:shd w:val="clear" w:color="auto" w:fill="auto"/>
                </w:tcPr>
                <w:p>
                  <w:pPr>
                    <w:spacing w:before="72" w:beforeLines="30" w:after="72" w:afterLines="30" w:line="288" w:lineRule="auto"/>
                  </w:pPr>
                  <w:r>
                    <w:t>model transfer in open format of a known model structure at UE</w:t>
                  </w:r>
                </w:p>
              </w:tc>
              <w:tc>
                <w:tcPr>
                  <w:tcW w:w="2250" w:type="dxa"/>
                  <w:shd w:val="clear" w:color="auto" w:fill="auto"/>
                </w:tcPr>
                <w:p>
                  <w:pPr>
                    <w:spacing w:before="72" w:beforeLines="30" w:after="72" w:afterLines="30" w:line="288" w:lineRule="auto"/>
                  </w:pPr>
                  <w:r>
                    <w:t>3GPP Network</w:t>
                  </w:r>
                </w:p>
              </w:tc>
              <w:tc>
                <w:tcPr>
                  <w:tcW w:w="3060" w:type="dxa"/>
                  <w:shd w:val="clear" w:color="auto" w:fill="auto"/>
                </w:tcPr>
                <w:p>
                  <w:pPr>
                    <w:spacing w:before="72" w:beforeLines="30" w:after="72" w:afterLines="30" w:line="288" w:lineRule="auto"/>
                  </w:pPr>
                  <w: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spacing w:before="72" w:beforeLines="30" w:after="72" w:afterLines="30" w:line="288" w:lineRule="auto"/>
                    <w:rPr>
                      <w:b/>
                    </w:rPr>
                  </w:pPr>
                  <w:r>
                    <w:rPr>
                      <w:b/>
                    </w:rPr>
                    <w:t>z5</w:t>
                  </w:r>
                </w:p>
              </w:tc>
              <w:tc>
                <w:tcPr>
                  <w:tcW w:w="3924" w:type="dxa"/>
                  <w:shd w:val="clear" w:color="auto" w:fill="auto"/>
                </w:tcPr>
                <w:p>
                  <w:pPr>
                    <w:spacing w:before="72" w:beforeLines="30" w:after="72" w:afterLines="30" w:line="288" w:lineRule="auto"/>
                  </w:pPr>
                  <w:r>
                    <w:t>model transfer in open format of an unknown model structure at UE</w:t>
                  </w:r>
                </w:p>
              </w:tc>
              <w:tc>
                <w:tcPr>
                  <w:tcW w:w="2250" w:type="dxa"/>
                  <w:shd w:val="clear" w:color="auto" w:fill="auto"/>
                </w:tcPr>
                <w:p>
                  <w:pPr>
                    <w:spacing w:before="72" w:beforeLines="30" w:after="72" w:afterLines="30" w:line="288" w:lineRule="auto"/>
                  </w:pPr>
                  <w:r>
                    <w:t>3GPP Network</w:t>
                  </w:r>
                </w:p>
              </w:tc>
              <w:tc>
                <w:tcPr>
                  <w:tcW w:w="3060" w:type="dxa"/>
                  <w:shd w:val="clear" w:color="auto" w:fill="auto"/>
                </w:tcPr>
                <w:p>
                  <w:pPr>
                    <w:spacing w:before="72" w:beforeLines="30" w:after="72" w:afterLines="30" w:line="288" w:lineRule="auto"/>
                  </w:pPr>
                  <w:r>
                    <w:t>NW-side</w:t>
                  </w:r>
                </w:p>
              </w:tc>
            </w:tr>
          </w:tbl>
          <w:p>
            <w:pPr>
              <w:widowControl/>
              <w:spacing w:before="72" w:beforeLines="30" w:after="72" w:afterLines="30" w:line="288" w:lineRule="auto"/>
              <w:rPr>
                <w:bCs/>
              </w:rPr>
            </w:pPr>
            <w:r>
              <w:rPr>
                <w:bCs/>
              </w:rPr>
              <w:t>Note: The Case definition is only for the purpose of facilitating discussion and does not imply applicability, feasibility, entity mapping, architecture, signalling nor any prioritization.</w:t>
            </w:r>
          </w:p>
          <w:p>
            <w:pPr>
              <w:widowControl/>
              <w:spacing w:before="72" w:beforeLines="30" w:after="72" w:afterLines="30" w:line="288" w:lineRule="auto"/>
              <w:rPr>
                <w:bCs/>
              </w:rPr>
            </w:pPr>
            <w:r>
              <w:rPr>
                <w:bCs/>
              </w:rPr>
              <w:t>Note: The Case definition is NOT intended to introduce sub-levels of Level z.</w:t>
            </w:r>
          </w:p>
          <w:p>
            <w:pPr>
              <w:widowControl/>
              <w:spacing w:before="72" w:beforeLines="30" w:after="72" w:afterLines="30" w:line="288" w:lineRule="auto"/>
              <w:rPr>
                <w:bCs/>
              </w:rPr>
            </w:pPr>
            <w:r>
              <w:rPr>
                <w:bCs/>
              </w:rPr>
              <w:t>Note: Other cases may be included further upon interest from companies.</w:t>
            </w:r>
          </w:p>
          <w:p>
            <w:pPr>
              <w:widowControl/>
              <w:spacing w:before="72" w:beforeLines="30" w:after="72" w:afterLines="30" w:line="288" w:lineRule="auto"/>
              <w:rPr>
                <w:bCs/>
              </w:rPr>
            </w:pPr>
          </w:p>
          <w:p>
            <w:pPr>
              <w:widowControl/>
              <w:snapToGrid w:val="0"/>
              <w:spacing w:before="72" w:beforeLines="30" w:after="72" w:afterLines="30" w:line="288" w:lineRule="auto"/>
              <w:rPr>
                <w:rFonts w:eastAsia="宋体"/>
                <w:b/>
                <w:kern w:val="0"/>
                <w:u w:val="single"/>
              </w:rPr>
            </w:pPr>
            <w:r>
              <w:rPr>
                <w:rFonts w:eastAsia="宋体"/>
                <w:b/>
                <w:kern w:val="0"/>
                <w:u w:val="single"/>
              </w:rPr>
              <w:t xml:space="preserve">[FL4] Proposed conclusion 7-21b </w:t>
            </w:r>
            <w:r>
              <w:rPr>
                <w:rFonts w:hint="eastAsia" w:eastAsia="宋体"/>
                <w:b/>
                <w:kern w:val="0"/>
                <w:u w:val="single"/>
              </w:rPr>
              <w:t>(</w:t>
            </w:r>
            <w:r>
              <w:rPr>
                <w:rFonts w:eastAsia="宋体"/>
                <w:b/>
                <w:kern w:val="0"/>
                <w:u w:val="single"/>
              </w:rPr>
              <w:t>RAN1#113</w:t>
            </w:r>
            <w:r>
              <w:rPr>
                <w:rFonts w:hint="eastAsia" w:eastAsia="宋体"/>
                <w:b/>
                <w:kern w:val="0"/>
                <w:u w:val="single"/>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8"/>
              <w:gridCol w:w="2166"/>
              <w:gridCol w:w="3218"/>
              <w:gridCol w:w="3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tcPr>
                <w:p>
                  <w:pPr>
                    <w:widowControl/>
                    <w:spacing w:before="72" w:beforeLines="30" w:after="72" w:afterLines="30" w:line="288" w:lineRule="auto"/>
                    <w:rPr>
                      <w:lang w:val="en-GB"/>
                    </w:rPr>
                  </w:pPr>
                </w:p>
              </w:tc>
              <w:tc>
                <w:tcPr>
                  <w:tcW w:w="2180" w:type="dxa"/>
                </w:tcPr>
                <w:p>
                  <w:pPr>
                    <w:widowControl/>
                    <w:spacing w:before="72" w:beforeLines="30" w:after="72" w:afterLines="30" w:line="288" w:lineRule="auto"/>
                    <w:rPr>
                      <w:lang w:val="en-GB"/>
                    </w:rPr>
                  </w:pPr>
                  <w:r>
                    <w:rPr>
                      <w:lang w:val="en-GB"/>
                    </w:rPr>
                    <w:t>Benefits</w:t>
                  </w:r>
                </w:p>
              </w:tc>
              <w:tc>
                <w:tcPr>
                  <w:tcW w:w="3240" w:type="dxa"/>
                </w:tcPr>
                <w:p>
                  <w:pPr>
                    <w:widowControl/>
                    <w:spacing w:before="72" w:beforeLines="30" w:after="72" w:afterLines="30" w:line="288" w:lineRule="auto"/>
                    <w:rPr>
                      <w:lang w:val="en-GB"/>
                    </w:rPr>
                  </w:pPr>
                  <w:r>
                    <w:rPr>
                      <w:lang w:val="en-GB"/>
                    </w:rPr>
                    <w:t>Challenges / requirements</w:t>
                  </w:r>
                </w:p>
              </w:tc>
              <w:tc>
                <w:tcPr>
                  <w:tcW w:w="3240" w:type="dxa"/>
                </w:tcPr>
                <w:p>
                  <w:pPr>
                    <w:widowControl/>
                    <w:spacing w:before="72" w:beforeLines="30" w:after="72" w:afterLines="30" w:line="288" w:lineRule="auto"/>
                    <w:rPr>
                      <w:lang w:val="en-GB"/>
                    </w:rPr>
                  </w:pPr>
                  <w:r>
                    <w:rPr>
                      <w:lang w:val="en-GB"/>
                    </w:rPr>
                    <w:t xml:space="preserve">Potential specification impact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tcPr>
                <w:p>
                  <w:pPr>
                    <w:widowControl/>
                    <w:spacing w:before="72" w:beforeLines="30" w:after="72" w:afterLines="30" w:line="288" w:lineRule="auto"/>
                    <w:rPr>
                      <w:lang w:val="en-GB"/>
                    </w:rPr>
                  </w:pPr>
                  <w:r>
                    <w:rPr>
                      <w:lang w:val="en-GB"/>
                    </w:rPr>
                    <w:t>y</w:t>
                  </w:r>
                </w:p>
              </w:tc>
              <w:tc>
                <w:tcPr>
                  <w:tcW w:w="2180" w:type="dxa"/>
                </w:tcPr>
                <w:p>
                  <w:pPr>
                    <w:widowControl/>
                    <w:spacing w:before="72" w:beforeLines="30" w:after="72" w:afterLines="30" w:line="288" w:lineRule="auto"/>
                    <w:rPr>
                      <w:lang w:val="en-GB"/>
                    </w:rPr>
                  </w:pPr>
                  <w:r>
                    <w:rPr>
                      <w:lang w:val="en-GB"/>
                    </w:rPr>
                    <w:t>-</w:t>
                  </w:r>
                </w:p>
              </w:tc>
              <w:tc>
                <w:tcPr>
                  <w:tcW w:w="3240" w:type="dxa"/>
                </w:tcPr>
                <w:p>
                  <w:pPr>
                    <w:widowControl/>
                    <w:spacing w:before="72" w:beforeLines="30" w:after="72" w:afterLines="30" w:line="288" w:lineRule="auto"/>
                    <w:rPr>
                      <w:lang w:val="en-GB"/>
                    </w:rPr>
                  </w:pPr>
                  <w:r>
                    <w:rPr>
                      <w:lang w:val="en-GB"/>
                    </w:rPr>
                    <w:t>-</w:t>
                  </w:r>
                </w:p>
              </w:tc>
              <w:tc>
                <w:tcPr>
                  <w:tcW w:w="3240" w:type="dxa"/>
                </w:tcPr>
                <w:p>
                  <w:pPr>
                    <w:widowControl/>
                    <w:spacing w:before="72" w:beforeLines="30" w:after="72" w:afterLines="30" w:line="288" w:lineRule="auto"/>
                    <w:rPr>
                      <w:lang w:val="en-GB"/>
                    </w:rPr>
                  </w:pPr>
                  <w:r>
                    <w:rPr>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tcPr>
                <w:p>
                  <w:pPr>
                    <w:widowControl/>
                    <w:spacing w:before="72" w:beforeLines="30" w:after="72" w:afterLines="30" w:line="288" w:lineRule="auto"/>
                    <w:rPr>
                      <w:lang w:val="en-GB"/>
                    </w:rPr>
                  </w:pPr>
                  <w:r>
                    <w:rPr>
                      <w:lang w:val="en-GB"/>
                    </w:rPr>
                    <w:t>Z1</w:t>
                  </w:r>
                </w:p>
              </w:tc>
              <w:tc>
                <w:tcPr>
                  <w:tcW w:w="2180" w:type="dxa"/>
                </w:tcPr>
                <w:p>
                  <w:pPr>
                    <w:widowControl/>
                    <w:spacing w:before="72" w:beforeLines="30" w:after="72" w:afterLines="30" w:line="288" w:lineRule="auto"/>
                    <w:rPr>
                      <w:strike/>
                      <w:lang w:val="en-GB"/>
                    </w:rPr>
                  </w:pPr>
                  <w:r>
                    <w:rPr>
                      <w:rFonts w:eastAsia="微软雅黑"/>
                      <w:strike/>
                    </w:rPr>
                    <w:t>B2</w:t>
                  </w:r>
                </w:p>
              </w:tc>
              <w:tc>
                <w:tcPr>
                  <w:tcW w:w="3240" w:type="dxa"/>
                </w:tcPr>
                <w:p>
                  <w:pPr>
                    <w:widowControl/>
                    <w:spacing w:before="72" w:beforeLines="30" w:after="72" w:afterLines="30" w:line="288" w:lineRule="auto"/>
                    <w:rPr>
                      <w:lang w:val="en-GB"/>
                    </w:rPr>
                  </w:pPr>
                  <w:r>
                    <w:rPr>
                      <w:strike/>
                      <w:lang w:val="en-GB"/>
                    </w:rPr>
                    <w:t>C1,</w:t>
                  </w:r>
                  <w:r>
                    <w:rPr>
                      <w:lang w:val="en-GB"/>
                    </w:rPr>
                    <w:t xml:space="preserve"> </w:t>
                  </w:r>
                  <w:r>
                    <w:rPr>
                      <w:strike/>
                      <w:lang w:val="en-GB"/>
                    </w:rPr>
                    <w:t>C2,</w:t>
                  </w:r>
                  <w:r>
                    <w:rPr>
                      <w:lang w:val="en-GB"/>
                    </w:rPr>
                    <w:t xml:space="preserve"> </w:t>
                  </w:r>
                  <w:r>
                    <w:rPr>
                      <w:strike/>
                      <w:lang w:val="en-GB"/>
                    </w:rPr>
                    <w:t>C8</w:t>
                  </w:r>
                </w:p>
              </w:tc>
              <w:tc>
                <w:tcPr>
                  <w:tcW w:w="3240" w:type="dxa"/>
                </w:tcPr>
                <w:p>
                  <w:pPr>
                    <w:widowControl/>
                    <w:spacing w:before="72" w:beforeLines="30" w:after="72" w:afterLines="30" w:line="288" w:lineRule="auto"/>
                    <w:rPr>
                      <w:lang w:val="en-GB"/>
                    </w:rPr>
                  </w:pPr>
                  <w:r>
                    <w:rPr>
                      <w:lang w:val="en-GB"/>
                    </w:rPr>
                    <w:t>S0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tcPr>
                <w:p>
                  <w:pPr>
                    <w:widowControl/>
                    <w:spacing w:before="72" w:beforeLines="30" w:after="72" w:afterLines="30" w:line="288" w:lineRule="auto"/>
                    <w:rPr>
                      <w:lang w:val="en-GB"/>
                    </w:rPr>
                  </w:pPr>
                  <w:r>
                    <w:rPr>
                      <w:lang w:val="en-GB"/>
                    </w:rPr>
                    <w:t>Z2</w:t>
                  </w:r>
                </w:p>
              </w:tc>
              <w:tc>
                <w:tcPr>
                  <w:tcW w:w="2180" w:type="dxa"/>
                </w:tcPr>
                <w:p>
                  <w:pPr>
                    <w:widowControl/>
                    <w:spacing w:before="72" w:beforeLines="30" w:after="72" w:afterLines="30" w:line="288" w:lineRule="auto"/>
                    <w:rPr>
                      <w:lang w:val="en-GB"/>
                    </w:rPr>
                  </w:pPr>
                  <w:r>
                    <w:rPr>
                      <w:rFonts w:eastAsia="微软雅黑"/>
                      <w:strike/>
                    </w:rPr>
                    <w:t>B2</w:t>
                  </w:r>
                </w:p>
              </w:tc>
              <w:tc>
                <w:tcPr>
                  <w:tcW w:w="3240" w:type="dxa"/>
                </w:tcPr>
                <w:p>
                  <w:pPr>
                    <w:widowControl/>
                    <w:spacing w:before="72" w:beforeLines="30" w:after="72" w:afterLines="30" w:line="288" w:lineRule="auto"/>
                    <w:rPr>
                      <w:lang w:val="en-GB"/>
                    </w:rPr>
                  </w:pPr>
                  <w:r>
                    <w:rPr>
                      <w:strike/>
                      <w:lang w:val="en-GB"/>
                    </w:rPr>
                    <w:t>C1,</w:t>
                  </w:r>
                  <w:r>
                    <w:rPr>
                      <w:lang w:val="en-GB"/>
                    </w:rPr>
                    <w:t xml:space="preserve"> </w:t>
                  </w:r>
                  <w:r>
                    <w:rPr>
                      <w:strike/>
                      <w:lang w:val="en-GB"/>
                    </w:rPr>
                    <w:t>C2,</w:t>
                  </w:r>
                  <w:r>
                    <w:rPr>
                      <w:lang w:val="en-GB"/>
                    </w:rPr>
                    <w:t xml:space="preserve"> C3, C9</w:t>
                  </w:r>
                </w:p>
              </w:tc>
              <w:tc>
                <w:tcPr>
                  <w:tcW w:w="3240" w:type="dxa"/>
                </w:tcPr>
                <w:p>
                  <w:pPr>
                    <w:widowControl/>
                    <w:spacing w:before="72" w:beforeLines="30" w:after="72" w:afterLines="30" w:line="288" w:lineRule="auto"/>
                    <w:rPr>
                      <w:lang w:val="en-GB"/>
                    </w:rPr>
                  </w:pPr>
                  <w:r>
                    <w:rPr>
                      <w:lang w:val="en-GB"/>
                    </w:rPr>
                    <w:t>S0, [S1]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tcPr>
                <w:p>
                  <w:pPr>
                    <w:widowControl/>
                    <w:spacing w:before="72" w:beforeLines="30" w:after="72" w:afterLines="30" w:line="288" w:lineRule="auto"/>
                    <w:rPr>
                      <w:lang w:val="en-GB"/>
                    </w:rPr>
                  </w:pPr>
                  <w:r>
                    <w:rPr>
                      <w:lang w:val="en-GB"/>
                    </w:rPr>
                    <w:t>Z3</w:t>
                  </w:r>
                </w:p>
              </w:tc>
              <w:tc>
                <w:tcPr>
                  <w:tcW w:w="2180" w:type="dxa"/>
                </w:tcPr>
                <w:p>
                  <w:pPr>
                    <w:widowControl/>
                    <w:spacing w:before="72" w:beforeLines="30" w:after="72" w:afterLines="30" w:line="288" w:lineRule="auto"/>
                    <w:rPr>
                      <w:lang w:val="en-GB"/>
                    </w:rPr>
                  </w:pPr>
                  <w:r>
                    <w:rPr>
                      <w:strike/>
                      <w:lang w:val="en-GB"/>
                    </w:rPr>
                    <w:t>B1,</w:t>
                  </w:r>
                  <w:r>
                    <w:rPr>
                      <w:lang w:val="en-GB"/>
                    </w:rPr>
                    <w:t xml:space="preserve"> </w:t>
                  </w:r>
                  <w:r>
                    <w:rPr>
                      <w:rFonts w:eastAsia="微软雅黑"/>
                      <w:strike/>
                    </w:rPr>
                    <w:t>B2</w:t>
                  </w:r>
                  <w:r>
                    <w:rPr>
                      <w:lang w:val="en-GB"/>
                    </w:rPr>
                    <w:t>,</w:t>
                  </w:r>
                  <w:r>
                    <w:rPr>
                      <w:strike/>
                      <w:lang w:val="en-GB"/>
                    </w:rPr>
                    <w:t xml:space="preserve"> B3</w:t>
                  </w:r>
                </w:p>
              </w:tc>
              <w:tc>
                <w:tcPr>
                  <w:tcW w:w="3240" w:type="dxa"/>
                </w:tcPr>
                <w:p>
                  <w:pPr>
                    <w:widowControl/>
                    <w:spacing w:before="72" w:beforeLines="30" w:after="72" w:afterLines="30" w:line="288" w:lineRule="auto"/>
                    <w:rPr>
                      <w:lang w:val="en-GB"/>
                    </w:rPr>
                  </w:pPr>
                  <w:r>
                    <w:rPr>
                      <w:strike/>
                      <w:lang w:val="en-GB"/>
                    </w:rPr>
                    <w:t>C1,</w:t>
                  </w:r>
                  <w:r>
                    <w:rPr>
                      <w:lang w:val="en-GB"/>
                    </w:rPr>
                    <w:t xml:space="preserve"> C3, C4, C5, </w:t>
                  </w:r>
                  <w:r>
                    <w:rPr>
                      <w:strike/>
                      <w:lang w:val="en-GB"/>
                    </w:rPr>
                    <w:t>C6, C8</w:t>
                  </w:r>
                </w:p>
              </w:tc>
              <w:tc>
                <w:tcPr>
                  <w:tcW w:w="3240" w:type="dxa"/>
                </w:tcPr>
                <w:p>
                  <w:pPr>
                    <w:widowControl/>
                    <w:spacing w:before="72" w:beforeLines="30" w:after="72" w:afterLines="30" w:line="288" w:lineRule="auto"/>
                    <w:rPr>
                      <w:lang w:val="en-GB"/>
                    </w:rPr>
                  </w:pPr>
                  <w:r>
                    <w:rPr>
                      <w:lang w:val="en-GB"/>
                    </w:rPr>
                    <w:t>S0, 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tcPr>
                <w:p>
                  <w:pPr>
                    <w:widowControl/>
                    <w:spacing w:before="72" w:beforeLines="30" w:after="72" w:afterLines="30" w:line="288" w:lineRule="auto"/>
                    <w:rPr>
                      <w:lang w:val="en-GB"/>
                    </w:rPr>
                  </w:pPr>
                  <w:r>
                    <w:rPr>
                      <w:lang w:val="en-GB"/>
                    </w:rPr>
                    <w:t>Z4</w:t>
                  </w:r>
                </w:p>
              </w:tc>
              <w:tc>
                <w:tcPr>
                  <w:tcW w:w="2180" w:type="dxa"/>
                </w:tcPr>
                <w:p>
                  <w:pPr>
                    <w:widowControl/>
                    <w:spacing w:before="72" w:beforeLines="30" w:after="72" w:afterLines="30" w:line="288" w:lineRule="auto"/>
                    <w:rPr>
                      <w:lang w:val="en-GB"/>
                    </w:rPr>
                  </w:pPr>
                  <w:r>
                    <w:rPr>
                      <w:lang w:val="en-GB"/>
                    </w:rPr>
                    <w:t xml:space="preserve">B1, </w:t>
                  </w:r>
                  <w:r>
                    <w:rPr>
                      <w:rFonts w:eastAsia="微软雅黑"/>
                      <w:strike/>
                    </w:rPr>
                    <w:t>B2</w:t>
                  </w:r>
                  <w:r>
                    <w:rPr>
                      <w:lang w:val="en-GB"/>
                    </w:rPr>
                    <w:t xml:space="preserve">, </w:t>
                  </w:r>
                  <w:r>
                    <w:rPr>
                      <w:strike/>
                      <w:lang w:val="en-GB"/>
                    </w:rPr>
                    <w:t>B3</w:t>
                  </w:r>
                  <w:r>
                    <w:rPr>
                      <w:lang w:val="en-GB"/>
                    </w:rPr>
                    <w:t>, B4</w:t>
                  </w:r>
                </w:p>
              </w:tc>
              <w:tc>
                <w:tcPr>
                  <w:tcW w:w="3240" w:type="dxa"/>
                </w:tcPr>
                <w:p>
                  <w:pPr>
                    <w:widowControl/>
                    <w:spacing w:before="72" w:beforeLines="30" w:after="72" w:afterLines="30" w:line="288" w:lineRule="auto"/>
                    <w:rPr>
                      <w:lang w:val="en-GB"/>
                    </w:rPr>
                  </w:pPr>
                  <w:r>
                    <w:rPr>
                      <w:lang w:val="en-GB"/>
                    </w:rPr>
                    <w:t xml:space="preserve">C3, C4, C5, </w:t>
                  </w:r>
                  <w:r>
                    <w:rPr>
                      <w:strike/>
                      <w:lang w:val="en-GB"/>
                    </w:rPr>
                    <w:t>C6, C7,</w:t>
                  </w:r>
                  <w:r>
                    <w:rPr>
                      <w:lang w:val="en-GB"/>
                    </w:rPr>
                    <w:t xml:space="preserve"> C9</w:t>
                  </w:r>
                </w:p>
              </w:tc>
              <w:tc>
                <w:tcPr>
                  <w:tcW w:w="3240" w:type="dxa"/>
                </w:tcPr>
                <w:p>
                  <w:pPr>
                    <w:widowControl/>
                    <w:spacing w:before="72" w:beforeLines="30" w:after="72" w:afterLines="30" w:line="288" w:lineRule="auto"/>
                    <w:rPr>
                      <w:lang w:val="en-GB"/>
                    </w:rPr>
                  </w:pPr>
                  <w:r>
                    <w:rPr>
                      <w:lang w:val="en-GB"/>
                    </w:rPr>
                    <w:t>S0, 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055" w:type="dxa"/>
                </w:tcPr>
                <w:p>
                  <w:pPr>
                    <w:widowControl/>
                    <w:spacing w:before="72" w:beforeLines="30" w:after="72" w:afterLines="30" w:line="288" w:lineRule="auto"/>
                    <w:rPr>
                      <w:lang w:val="en-GB"/>
                    </w:rPr>
                  </w:pPr>
                  <w:r>
                    <w:rPr>
                      <w:lang w:val="en-GB"/>
                    </w:rPr>
                    <w:t>Z5</w:t>
                  </w:r>
                </w:p>
              </w:tc>
              <w:tc>
                <w:tcPr>
                  <w:tcW w:w="2180" w:type="dxa"/>
                </w:tcPr>
                <w:p>
                  <w:pPr>
                    <w:widowControl/>
                    <w:spacing w:before="72" w:beforeLines="30" w:after="72" w:afterLines="30" w:line="288" w:lineRule="auto"/>
                    <w:rPr>
                      <w:lang w:val="en-GB"/>
                    </w:rPr>
                  </w:pPr>
                  <w:r>
                    <w:rPr>
                      <w:lang w:val="en-GB"/>
                    </w:rPr>
                    <w:t xml:space="preserve">B1, </w:t>
                  </w:r>
                  <w:r>
                    <w:rPr>
                      <w:rFonts w:eastAsia="微软雅黑"/>
                      <w:strike/>
                    </w:rPr>
                    <w:t>B2</w:t>
                  </w:r>
                  <w:r>
                    <w:rPr>
                      <w:lang w:val="en-GB"/>
                    </w:rPr>
                    <w:t>, B3, B4</w:t>
                  </w:r>
                </w:p>
              </w:tc>
              <w:tc>
                <w:tcPr>
                  <w:tcW w:w="3240" w:type="dxa"/>
                </w:tcPr>
                <w:p>
                  <w:pPr>
                    <w:widowControl/>
                    <w:spacing w:before="72" w:beforeLines="30" w:after="72" w:afterLines="30" w:line="288" w:lineRule="auto"/>
                    <w:rPr>
                      <w:lang w:val="en-GB"/>
                    </w:rPr>
                  </w:pPr>
                  <w:r>
                    <w:rPr>
                      <w:lang w:val="en-GB"/>
                    </w:rPr>
                    <w:t xml:space="preserve">C3, C4, C5, </w:t>
                  </w:r>
                  <w:r>
                    <w:rPr>
                      <w:strike/>
                      <w:lang w:val="en-GB"/>
                    </w:rPr>
                    <w:t>C6, C7,</w:t>
                  </w:r>
                  <w:r>
                    <w:rPr>
                      <w:lang w:val="en-GB"/>
                    </w:rPr>
                    <w:t xml:space="preserve"> C9, C10, C11</w:t>
                  </w:r>
                </w:p>
              </w:tc>
              <w:tc>
                <w:tcPr>
                  <w:tcW w:w="3240" w:type="dxa"/>
                </w:tcPr>
                <w:p>
                  <w:pPr>
                    <w:widowControl/>
                    <w:spacing w:before="72" w:beforeLines="30" w:after="72" w:afterLines="30" w:line="288" w:lineRule="auto"/>
                    <w:rPr>
                      <w:lang w:val="en-GB"/>
                    </w:rPr>
                  </w:pPr>
                  <w:r>
                    <w:rPr>
                      <w:lang w:val="en-GB"/>
                    </w:rPr>
                    <w:t>S0, S1, S2</w:t>
                  </w:r>
                </w:p>
              </w:tc>
            </w:tr>
          </w:tbl>
          <w:p>
            <w:pPr>
              <w:widowControl/>
              <w:spacing w:before="72" w:beforeLines="30" w:after="72" w:afterLines="30" w:line="288" w:lineRule="auto"/>
              <w:rPr>
                <w:u w:val="single"/>
                <w:lang w:val="en-GB"/>
              </w:rPr>
            </w:pPr>
            <w:r>
              <w:rPr>
                <w:u w:val="single"/>
                <w:lang w:val="en-GB"/>
              </w:rPr>
              <w:t xml:space="preserve">Benefits </w:t>
            </w:r>
            <w:r>
              <w:rPr>
                <w:strike/>
                <w:u w:val="single"/>
                <w:lang w:val="en-GB"/>
              </w:rPr>
              <w:t>(compared to Case y)</w:t>
            </w:r>
            <w:r>
              <w:rPr>
                <w:u w:val="single"/>
                <w:lang w:val="en-GB"/>
              </w:rPr>
              <w:t>:</w:t>
            </w:r>
          </w:p>
          <w:p>
            <w:pPr>
              <w:pStyle w:val="38"/>
              <w:widowControl/>
              <w:numPr>
                <w:ilvl w:val="0"/>
                <w:numId w:val="24"/>
              </w:numPr>
              <w:spacing w:before="72" w:beforeLines="30" w:after="72" w:afterLines="30" w:line="288" w:lineRule="auto"/>
              <w:rPr>
                <w:rFonts w:eastAsia="微软雅黑"/>
                <w:sz w:val="20"/>
                <w:szCs w:val="20"/>
              </w:rPr>
            </w:pPr>
            <w:r>
              <w:rPr>
                <w:sz w:val="20"/>
                <w:szCs w:val="20"/>
                <w:lang w:val="en-GB"/>
              </w:rPr>
              <w:t xml:space="preserve">B1: </w:t>
            </w:r>
            <w:r>
              <w:rPr>
                <w:rFonts w:eastAsia="微软雅黑"/>
                <w:sz w:val="20"/>
                <w:szCs w:val="20"/>
              </w:rPr>
              <w:t>Shorter model parameter update timescale without requiring offline quantization, compiling, and testing</w:t>
            </w:r>
          </w:p>
          <w:p>
            <w:pPr>
              <w:pStyle w:val="38"/>
              <w:widowControl/>
              <w:numPr>
                <w:ilvl w:val="0"/>
                <w:numId w:val="24"/>
              </w:numPr>
              <w:spacing w:before="72" w:beforeLines="30" w:after="72" w:afterLines="30" w:line="288" w:lineRule="auto"/>
              <w:rPr>
                <w:rFonts w:eastAsia="微软雅黑"/>
                <w:sz w:val="20"/>
                <w:szCs w:val="20"/>
              </w:rPr>
            </w:pPr>
            <w:r>
              <w:rPr>
                <w:rFonts w:eastAsia="微软雅黑"/>
                <w:sz w:val="20"/>
                <w:szCs w:val="20"/>
              </w:rPr>
              <w:t>B3: Flexibility for model structure update without offline co-engineering for two-sided models</w:t>
            </w:r>
          </w:p>
          <w:p>
            <w:pPr>
              <w:pStyle w:val="38"/>
              <w:widowControl/>
              <w:numPr>
                <w:ilvl w:val="0"/>
                <w:numId w:val="24"/>
              </w:numPr>
              <w:spacing w:before="72" w:beforeLines="30" w:after="72" w:afterLines="30" w:line="288" w:lineRule="auto"/>
              <w:rPr>
                <w:rFonts w:eastAsia="微软雅黑"/>
                <w:sz w:val="20"/>
                <w:szCs w:val="20"/>
              </w:rPr>
            </w:pPr>
            <w:r>
              <w:rPr>
                <w:rFonts w:eastAsia="微软雅黑"/>
                <w:sz w:val="20"/>
                <w:szCs w:val="20"/>
              </w:rPr>
              <w:t>B4: Flexibility for model parameter update without offline co-engineering for two-sided models</w:t>
            </w:r>
          </w:p>
          <w:p>
            <w:pPr>
              <w:widowControl/>
              <w:spacing w:before="72" w:beforeLines="30" w:after="72" w:afterLines="30" w:line="288" w:lineRule="auto"/>
              <w:rPr>
                <w:u w:val="single"/>
                <w:lang w:val="en-GB"/>
              </w:rPr>
            </w:pPr>
            <w:r>
              <w:rPr>
                <w:u w:val="single"/>
                <w:lang w:val="en-GB"/>
              </w:rPr>
              <w:t>Challenges and requirements:</w:t>
            </w:r>
          </w:p>
          <w:p>
            <w:pPr>
              <w:pStyle w:val="38"/>
              <w:widowControl/>
              <w:numPr>
                <w:ilvl w:val="0"/>
                <w:numId w:val="24"/>
              </w:numPr>
              <w:spacing w:before="72" w:beforeLines="30" w:after="72" w:afterLines="30" w:line="288" w:lineRule="auto"/>
              <w:rPr>
                <w:strike/>
                <w:sz w:val="20"/>
                <w:szCs w:val="20"/>
                <w:lang w:val="en-GB"/>
              </w:rPr>
            </w:pPr>
            <w:r>
              <w:rPr>
                <w:strike/>
                <w:sz w:val="20"/>
                <w:szCs w:val="20"/>
                <w:lang w:val="en-GB"/>
              </w:rPr>
              <w:t>C1: Larger latency</w:t>
            </w:r>
          </w:p>
          <w:p>
            <w:pPr>
              <w:pStyle w:val="38"/>
              <w:widowControl/>
              <w:numPr>
                <w:ilvl w:val="0"/>
                <w:numId w:val="24"/>
              </w:numPr>
              <w:spacing w:before="72" w:beforeLines="30" w:after="72" w:afterLines="30" w:line="288" w:lineRule="auto"/>
              <w:rPr>
                <w:strike/>
                <w:sz w:val="20"/>
                <w:szCs w:val="20"/>
                <w:lang w:val="en-GB"/>
              </w:rPr>
            </w:pPr>
            <w:r>
              <w:rPr>
                <w:strike/>
                <w:sz w:val="20"/>
                <w:szCs w:val="20"/>
                <w:lang w:val="en-GB"/>
              </w:rPr>
              <w:t>C2: Offline co-engineering efforts</w:t>
            </w:r>
          </w:p>
          <w:p>
            <w:pPr>
              <w:pStyle w:val="38"/>
              <w:widowControl/>
              <w:numPr>
                <w:ilvl w:val="0"/>
                <w:numId w:val="24"/>
              </w:numPr>
              <w:spacing w:before="72" w:beforeLines="30" w:after="72" w:afterLines="30" w:line="288" w:lineRule="auto"/>
              <w:rPr>
                <w:sz w:val="20"/>
                <w:szCs w:val="20"/>
                <w:lang w:val="en-GB"/>
              </w:rPr>
            </w:pPr>
            <w:r>
              <w:rPr>
                <w:sz w:val="20"/>
                <w:szCs w:val="20"/>
                <w:lang w:val="en-GB"/>
              </w:rPr>
              <w:t>C3: Preservation of proprietary design</w:t>
            </w:r>
          </w:p>
          <w:p>
            <w:pPr>
              <w:pStyle w:val="38"/>
              <w:widowControl/>
              <w:numPr>
                <w:ilvl w:val="1"/>
                <w:numId w:val="24"/>
              </w:numPr>
              <w:spacing w:before="72" w:beforeLines="30" w:after="72" w:afterLines="30" w:line="288" w:lineRule="auto"/>
              <w:rPr>
                <w:sz w:val="20"/>
                <w:szCs w:val="20"/>
                <w:lang w:val="en-GB"/>
              </w:rPr>
            </w:pPr>
            <w:r>
              <w:rPr>
                <w:sz w:val="20"/>
                <w:szCs w:val="20"/>
                <w:lang w:val="en-GB"/>
              </w:rPr>
              <w:t>Note: This may not be a concern if the model is widely known and does not involve any device-specific design decisions (such as number of layers, activation size, quantization, etc.) whose choice will constitute a design secret.</w:t>
            </w:r>
          </w:p>
          <w:p>
            <w:pPr>
              <w:pStyle w:val="38"/>
              <w:widowControl/>
              <w:numPr>
                <w:ilvl w:val="0"/>
                <w:numId w:val="24"/>
              </w:numPr>
              <w:spacing w:before="72" w:beforeLines="30" w:after="72" w:afterLines="30" w:line="288" w:lineRule="auto"/>
              <w:rPr>
                <w:sz w:val="20"/>
                <w:szCs w:val="20"/>
                <w:lang w:val="en-GB"/>
              </w:rPr>
            </w:pPr>
            <w:r>
              <w:rPr>
                <w:sz w:val="20"/>
                <w:szCs w:val="20"/>
                <w:lang w:val="en-GB"/>
              </w:rPr>
              <w:t xml:space="preserve">C4: </w:t>
            </w:r>
            <w:r>
              <w:rPr>
                <w:rFonts w:eastAsia="微软雅黑"/>
                <w:sz w:val="20"/>
                <w:szCs w:val="20"/>
              </w:rPr>
              <w:t>UE capability for accepting new parameters on an existing model structure, such as compiling (if needed), quantization, updating and running the model</w:t>
            </w:r>
          </w:p>
          <w:p>
            <w:pPr>
              <w:pStyle w:val="38"/>
              <w:widowControl/>
              <w:numPr>
                <w:ilvl w:val="0"/>
                <w:numId w:val="24"/>
              </w:numPr>
              <w:spacing w:before="72" w:beforeLines="30" w:after="72" w:afterLines="30" w:line="288" w:lineRule="auto"/>
              <w:rPr>
                <w:sz w:val="20"/>
                <w:szCs w:val="20"/>
                <w:lang w:val="en-GB"/>
              </w:rPr>
            </w:pPr>
            <w:r>
              <w:rPr>
                <w:sz w:val="20"/>
                <w:szCs w:val="20"/>
                <w:lang w:val="en-GB"/>
              </w:rPr>
              <w:t>C5: Lack of performance guarantee and testability of an updated model prior to deployment, compared to the baseline scenario of going through offline quantization, compiling, and testing of the updated model with the rest of the modem implementation.</w:t>
            </w:r>
          </w:p>
          <w:p>
            <w:pPr>
              <w:pStyle w:val="38"/>
              <w:widowControl/>
              <w:numPr>
                <w:ilvl w:val="1"/>
                <w:numId w:val="24"/>
              </w:numPr>
              <w:spacing w:before="72" w:beforeLines="30" w:after="72" w:afterLines="30" w:line="288" w:lineRule="auto"/>
              <w:rPr>
                <w:sz w:val="20"/>
                <w:szCs w:val="20"/>
                <w:lang w:val="en-GB"/>
              </w:rPr>
            </w:pPr>
            <w:r>
              <w:rPr>
                <w:sz w:val="20"/>
                <w:szCs w:val="20"/>
                <w:lang w:val="en-GB"/>
              </w:rPr>
              <w:t>Note: Performance can be monitored after the model is deployed.</w:t>
            </w:r>
          </w:p>
          <w:p>
            <w:pPr>
              <w:pStyle w:val="38"/>
              <w:widowControl/>
              <w:numPr>
                <w:ilvl w:val="0"/>
                <w:numId w:val="24"/>
              </w:numPr>
              <w:spacing w:before="72" w:beforeLines="30" w:after="72" w:afterLines="30" w:line="288" w:lineRule="auto"/>
              <w:rPr>
                <w:rFonts w:eastAsia="微软雅黑"/>
                <w:strike/>
                <w:sz w:val="20"/>
                <w:szCs w:val="20"/>
              </w:rPr>
            </w:pPr>
            <w:r>
              <w:rPr>
                <w:strike/>
                <w:sz w:val="20"/>
                <w:szCs w:val="20"/>
                <w:lang w:val="en-GB"/>
              </w:rPr>
              <w:t xml:space="preserve">C6: Specification effort for </w:t>
            </w:r>
            <w:r>
              <w:rPr>
                <w:rFonts w:eastAsia="微软雅黑"/>
                <w:strike/>
                <w:sz w:val="20"/>
                <w:szCs w:val="20"/>
              </w:rPr>
              <w:t>model delivery format for open format</w:t>
            </w:r>
          </w:p>
          <w:p>
            <w:pPr>
              <w:pStyle w:val="38"/>
              <w:widowControl/>
              <w:numPr>
                <w:ilvl w:val="0"/>
                <w:numId w:val="24"/>
              </w:numPr>
              <w:spacing w:before="72" w:beforeLines="30" w:after="72" w:afterLines="30" w:line="288" w:lineRule="auto"/>
              <w:rPr>
                <w:strike/>
                <w:sz w:val="20"/>
                <w:szCs w:val="20"/>
                <w:lang w:val="en-GB"/>
              </w:rPr>
            </w:pPr>
            <w:r>
              <w:rPr>
                <w:strike/>
                <w:sz w:val="20"/>
                <w:szCs w:val="20"/>
                <w:lang w:val="en-GB"/>
              </w:rPr>
              <w:t>C7: Testability aspects</w:t>
            </w:r>
          </w:p>
          <w:p>
            <w:pPr>
              <w:pStyle w:val="38"/>
              <w:widowControl/>
              <w:numPr>
                <w:ilvl w:val="0"/>
                <w:numId w:val="24"/>
              </w:numPr>
              <w:spacing w:before="72" w:beforeLines="30" w:after="72" w:afterLines="30" w:line="288" w:lineRule="auto"/>
              <w:rPr>
                <w:rFonts w:eastAsia="微软雅黑"/>
                <w:strike/>
                <w:sz w:val="20"/>
                <w:szCs w:val="20"/>
              </w:rPr>
            </w:pPr>
            <w:r>
              <w:rPr>
                <w:strike/>
                <w:sz w:val="20"/>
                <w:szCs w:val="20"/>
                <w:lang w:val="en-GB"/>
              </w:rPr>
              <w:t>C8: Lack of p</w:t>
            </w:r>
            <w:r>
              <w:rPr>
                <w:rFonts w:eastAsia="微软雅黑"/>
                <w:strike/>
                <w:sz w:val="20"/>
                <w:szCs w:val="20"/>
              </w:rPr>
              <w:t xml:space="preserve">er cell or area optimization </w:t>
            </w:r>
            <w:r>
              <w:rPr>
                <w:strike/>
                <w:sz w:val="20"/>
                <w:szCs w:val="20"/>
                <w:lang w:val="en-GB"/>
              </w:rPr>
              <w:t>if dataset ID is not available</w:t>
            </w:r>
          </w:p>
          <w:p>
            <w:pPr>
              <w:pStyle w:val="38"/>
              <w:widowControl/>
              <w:numPr>
                <w:ilvl w:val="0"/>
                <w:numId w:val="24"/>
              </w:numPr>
              <w:spacing w:before="72" w:beforeLines="30" w:after="72" w:afterLines="30" w:line="288" w:lineRule="auto"/>
              <w:rPr>
                <w:rFonts w:eastAsia="微软雅黑"/>
                <w:sz w:val="20"/>
                <w:szCs w:val="20"/>
              </w:rPr>
            </w:pPr>
            <w:r>
              <w:rPr>
                <w:sz w:val="20"/>
                <w:szCs w:val="20"/>
                <w:lang w:val="en-GB"/>
              </w:rPr>
              <w:t xml:space="preserve">C9: </w:t>
            </w:r>
            <w:r>
              <w:rPr>
                <w:strike/>
                <w:sz w:val="20"/>
                <w:szCs w:val="20"/>
                <w:lang w:val="en-GB"/>
              </w:rPr>
              <w:t>Full model optimization</w:t>
            </w:r>
            <w:r>
              <w:rPr>
                <w:sz w:val="20"/>
                <w:szCs w:val="20"/>
                <w:lang w:val="en-GB"/>
              </w:rPr>
              <w:t xml:space="preserve"> Potentially suboptimal performance of an updated model due to lack of</w:t>
            </w:r>
            <w:r>
              <w:rPr>
                <w:strike/>
                <w:sz w:val="20"/>
                <w:szCs w:val="20"/>
                <w:lang w:val="en-GB"/>
              </w:rPr>
              <w:t xml:space="preserve"> testing fully developed model</w:t>
            </w:r>
            <w:r>
              <w:rPr>
                <w:sz w:val="20"/>
                <w:szCs w:val="20"/>
                <w:lang w:val="en-GB"/>
              </w:rPr>
              <w:t>model quantization optimization during training, compared to the baseline scenario of going through offline quantization, compiling, and testing of the updated model.</w:t>
            </w:r>
          </w:p>
          <w:p>
            <w:pPr>
              <w:pStyle w:val="38"/>
              <w:widowControl/>
              <w:numPr>
                <w:ilvl w:val="0"/>
                <w:numId w:val="24"/>
              </w:numPr>
              <w:spacing w:before="72" w:beforeLines="30" w:after="72" w:afterLines="30" w:line="288" w:lineRule="auto"/>
              <w:rPr>
                <w:rFonts w:eastAsia="微软雅黑"/>
                <w:sz w:val="20"/>
                <w:szCs w:val="20"/>
              </w:rPr>
            </w:pPr>
            <w:r>
              <w:rPr>
                <w:sz w:val="20"/>
                <w:szCs w:val="20"/>
                <w:lang w:val="en-GB"/>
              </w:rPr>
              <w:t>C10: Device specific optimization of the model structure</w:t>
            </w:r>
          </w:p>
          <w:p>
            <w:pPr>
              <w:pStyle w:val="38"/>
              <w:widowControl/>
              <w:numPr>
                <w:ilvl w:val="0"/>
                <w:numId w:val="24"/>
              </w:numPr>
              <w:spacing w:before="72" w:beforeLines="30" w:after="72" w:afterLines="30" w:line="288" w:lineRule="auto"/>
              <w:rPr>
                <w:rFonts w:eastAsia="微软雅黑"/>
                <w:sz w:val="20"/>
                <w:szCs w:val="20"/>
              </w:rPr>
            </w:pPr>
            <w:r>
              <w:rPr>
                <w:sz w:val="20"/>
                <w:szCs w:val="20"/>
                <w:lang w:val="en-GB"/>
              </w:rPr>
              <w:t>C11: Device capability of running an unknown model structure</w:t>
            </w:r>
          </w:p>
          <w:p>
            <w:pPr>
              <w:widowControl/>
              <w:spacing w:before="72" w:beforeLines="30" w:after="72" w:afterLines="30" w:line="288" w:lineRule="auto"/>
              <w:rPr>
                <w:u w:val="single"/>
                <w:lang w:val="en-GB"/>
              </w:rPr>
            </w:pPr>
            <w:r>
              <w:rPr>
                <w:u w:val="single"/>
                <w:lang w:val="en-GB"/>
              </w:rPr>
              <w:t>Potential specification impact:</w:t>
            </w:r>
          </w:p>
          <w:p>
            <w:pPr>
              <w:pStyle w:val="38"/>
              <w:widowControl/>
              <w:numPr>
                <w:ilvl w:val="0"/>
                <w:numId w:val="24"/>
              </w:numPr>
              <w:spacing w:before="72" w:beforeLines="30" w:after="72" w:afterLines="30" w:line="288" w:lineRule="auto"/>
              <w:rPr>
                <w:sz w:val="20"/>
                <w:szCs w:val="20"/>
                <w:lang w:val="en-GB"/>
              </w:rPr>
            </w:pPr>
            <w:r>
              <w:rPr>
                <w:sz w:val="20"/>
                <w:szCs w:val="20"/>
                <w:lang w:val="en-GB"/>
              </w:rPr>
              <w:t>S0: Specification related to model transfer</w:t>
            </w:r>
          </w:p>
          <w:p>
            <w:pPr>
              <w:pStyle w:val="38"/>
              <w:widowControl/>
              <w:numPr>
                <w:ilvl w:val="0"/>
                <w:numId w:val="24"/>
              </w:numPr>
              <w:spacing w:before="72" w:beforeLines="30" w:after="72" w:afterLines="30" w:line="288" w:lineRule="auto"/>
              <w:rPr>
                <w:sz w:val="20"/>
                <w:szCs w:val="20"/>
                <w:lang w:val="en-GB"/>
              </w:rPr>
            </w:pPr>
            <w:r>
              <w:rPr>
                <w:sz w:val="20"/>
                <w:szCs w:val="20"/>
                <w:lang w:val="en-GB"/>
              </w:rPr>
              <w:t>S1: Specification of model format for open-format model transfer</w:t>
            </w:r>
          </w:p>
          <w:p>
            <w:pPr>
              <w:pStyle w:val="38"/>
              <w:widowControl/>
              <w:numPr>
                <w:ilvl w:val="0"/>
                <w:numId w:val="24"/>
              </w:numPr>
              <w:spacing w:before="72" w:beforeLines="30" w:after="72" w:afterLines="30" w:line="288" w:lineRule="auto"/>
              <w:rPr>
                <w:rFonts w:eastAsia="宋体"/>
                <w:b/>
                <w:kern w:val="0"/>
                <w:sz w:val="20"/>
                <w:szCs w:val="20"/>
              </w:rPr>
            </w:pPr>
            <w:r>
              <w:rPr>
                <w:sz w:val="20"/>
                <w:szCs w:val="20"/>
                <w:lang w:val="en-GB"/>
              </w:rPr>
              <w:t>S2: Flexible UE capability mechanism beyond model ID-based approach</w:t>
            </w:r>
          </w:p>
          <w:p>
            <w:pPr>
              <w:pStyle w:val="38"/>
              <w:widowControl/>
              <w:spacing w:before="72" w:beforeLines="30" w:after="72" w:afterLines="30" w:line="288" w:lineRule="auto"/>
              <w:ind w:left="360"/>
              <w:rPr>
                <w:rFonts w:eastAsia="宋体"/>
                <w:b/>
                <w:kern w:val="0"/>
                <w:sz w:val="20"/>
                <w:szCs w:val="20"/>
              </w:rPr>
            </w:pPr>
          </w:p>
          <w:p>
            <w:pPr>
              <w:widowControl/>
              <w:spacing w:before="72" w:beforeLines="30" w:after="72" w:afterLines="30" w:line="288" w:lineRule="auto"/>
              <w:rPr>
                <w:rFonts w:eastAsia="等线"/>
                <w:b/>
                <w:bCs/>
              </w:rPr>
            </w:pPr>
            <w:r>
              <w:rPr>
                <w:rFonts w:eastAsia="等线"/>
                <w:b/>
                <w:bCs/>
              </w:rPr>
              <w:t>Observation (RAN1#114):</w:t>
            </w:r>
          </w:p>
          <w:p>
            <w:pPr>
              <w:widowControl/>
              <w:numPr>
                <w:ilvl w:val="0"/>
                <w:numId w:val="25"/>
              </w:numPr>
              <w:spacing w:before="72" w:beforeLines="30" w:after="72" w:afterLines="30" w:line="288" w:lineRule="auto"/>
              <w:rPr>
                <w:rFonts w:eastAsia="宋体"/>
                <w:b/>
                <w:kern w:val="0"/>
              </w:rPr>
            </w:pPr>
            <w:r>
              <w:rPr>
                <w:rFonts w:eastAsia="Calibri"/>
              </w:rPr>
              <w:t>Model transfer/delivery of an unknown structure at UE has more challenges related to feasibility (e.g. UE implementation feasibility) compared to delivery/transfer of a known structure at UE.</w:t>
            </w:r>
          </w:p>
          <w:p>
            <w:pPr>
              <w:widowControl/>
              <w:spacing w:before="72" w:beforeLines="30" w:after="72" w:afterLines="30" w:line="288" w:lineRule="auto"/>
              <w:rPr>
                <w:rFonts w:eastAsia="Calibri"/>
              </w:rPr>
            </w:pPr>
          </w:p>
          <w:p>
            <w:pPr>
              <w:widowControl/>
              <w:spacing w:before="72" w:beforeLines="30" w:after="72" w:afterLines="30" w:line="288" w:lineRule="auto"/>
              <w:rPr>
                <w:rFonts w:eastAsia="等线"/>
                <w:b/>
                <w:bCs/>
              </w:rPr>
            </w:pPr>
            <w:r>
              <w:rPr>
                <w:rFonts w:hint="eastAsia" w:eastAsia="等线"/>
                <w:b/>
                <w:bCs/>
              </w:rPr>
              <w:t>Proposal (</w:t>
            </w:r>
            <w:r>
              <w:rPr>
                <w:rFonts w:eastAsia="等线"/>
                <w:b/>
                <w:bCs/>
              </w:rPr>
              <w:t>RAN1#114</w:t>
            </w:r>
            <w:r>
              <w:rPr>
                <w:rFonts w:hint="eastAsia" w:eastAsia="等线"/>
                <w:b/>
                <w:bCs/>
              </w:rPr>
              <w:t>bis):</w:t>
            </w:r>
          </w:p>
          <w:p>
            <w:pPr>
              <w:widowControl/>
              <w:numPr>
                <w:ilvl w:val="0"/>
                <w:numId w:val="25"/>
              </w:numPr>
              <w:spacing w:before="72" w:beforeLines="30" w:after="72" w:afterLines="30" w:line="288" w:lineRule="auto"/>
              <w:rPr>
                <w:rFonts w:eastAsia="Calibri"/>
                <w:lang w:val="en-GB" w:eastAsia="en-US"/>
              </w:rPr>
            </w:pPr>
            <w:r>
              <w:rPr>
                <w:rFonts w:eastAsia="Calibri"/>
                <w:lang w:val="en-GB" w:eastAsia="en-US"/>
              </w:rPr>
              <w:t>For model delivery/transfer to UE, from the device implementation point of view</w:t>
            </w:r>
          </w:p>
          <w:p>
            <w:pPr>
              <w:widowControl/>
              <w:numPr>
                <w:ilvl w:val="1"/>
                <w:numId w:val="13"/>
              </w:numPr>
              <w:snapToGrid w:val="0"/>
              <w:spacing w:before="72" w:beforeLines="30" w:after="72" w:afterLines="30" w:line="288" w:lineRule="auto"/>
              <w:rPr>
                <w:rFonts w:eastAsia="Calibri"/>
                <w:lang w:val="en-GB" w:eastAsia="en-US"/>
              </w:rPr>
            </w:pPr>
            <w:r>
              <w:rPr>
                <w:rFonts w:eastAsia="Calibri"/>
                <w:lang w:val="en-GB" w:eastAsia="en-US"/>
              </w:rPr>
              <w:t>Model delivery/transfer to UE in a proprietary format (Case y, z1, z2) is feasible from RAN1 perspective.</w:t>
            </w:r>
          </w:p>
          <w:p>
            <w:pPr>
              <w:widowControl/>
              <w:numPr>
                <w:ilvl w:val="1"/>
                <w:numId w:val="13"/>
              </w:numPr>
              <w:snapToGrid w:val="0"/>
              <w:spacing w:before="72" w:beforeLines="30" w:after="72" w:afterLines="30" w:line="288" w:lineRule="auto"/>
              <w:rPr>
                <w:rFonts w:eastAsia="等线"/>
                <w:b/>
                <w:bCs/>
              </w:rPr>
            </w:pPr>
            <w:r>
              <w:rPr>
                <w:rFonts w:eastAsia="Calibri"/>
                <w:lang w:val="en-GB" w:eastAsia="en-US"/>
              </w:rPr>
              <w:t xml:space="preserve">Parameter update of a known structure on a deployed model via model delivery/transfer in an open format (Case z3,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w:t>
            </w:r>
            <w:r>
              <w:rPr>
                <w:rFonts w:eastAsia="Calibri"/>
              </w:rPr>
              <w:t>compared to model delivery</w:t>
            </w:r>
            <w:r>
              <w:rPr>
                <w:rFonts w:hint="eastAsia" w:eastAsia="Calibri"/>
              </w:rPr>
              <w:t xml:space="preserve"> </w:t>
            </w:r>
            <w:r>
              <w:rPr>
                <w:rFonts w:eastAsia="Calibri"/>
              </w:rPr>
              <w:t>via proprietary format</w:t>
            </w:r>
            <w:r>
              <w:rPr>
                <w:rFonts w:eastAsia="Calibri"/>
                <w:lang w:val="en-GB" w:eastAsia="en-US"/>
              </w:rPr>
              <w:t>.</w:t>
            </w:r>
          </w:p>
        </w:tc>
      </w:tr>
    </w:tbl>
    <w:p>
      <w:pPr>
        <w:snapToGrid w:val="0"/>
        <w:spacing w:before="72" w:beforeLines="30" w:after="72" w:afterLines="30" w:line="288" w:lineRule="auto"/>
        <w:rPr>
          <w:rFonts w:eastAsia="微软雅黑"/>
          <w:kern w:val="0"/>
        </w:rPr>
      </w:pPr>
      <w:r>
        <w:rPr>
          <w:rFonts w:hint="eastAsia" w:eastAsia="微软雅黑"/>
          <w:kern w:val="0"/>
        </w:rPr>
        <w:t>There were some discussions in RAN1#114 and RAN1#114bis meetings about the model transfer/delivery options. Due to limited time, only one observation related to model transfer/delivery of an unknown structure at UE was made. In order to have a full picture of pros and cons of different model transfer/delivery options, it</w:t>
      </w:r>
      <w:r>
        <w:rPr>
          <w:rFonts w:eastAsia="微软雅黑"/>
          <w:kern w:val="0"/>
        </w:rPr>
        <w:t>’</w:t>
      </w:r>
      <w:r>
        <w:rPr>
          <w:rFonts w:hint="eastAsia" w:eastAsia="微软雅黑"/>
          <w:kern w:val="0"/>
        </w:rPr>
        <w:t xml:space="preserve">s better to further discuss the remaining issues. Based on the proposal </w:t>
      </w:r>
      <w:r>
        <w:rPr>
          <w:rFonts w:eastAsia="微软雅黑"/>
          <w:kern w:val="0"/>
        </w:rPr>
        <w:t>‘</w:t>
      </w:r>
      <w:r>
        <w:rPr>
          <w:rFonts w:hint="eastAsia" w:eastAsia="微软雅黑"/>
          <w:kern w:val="0"/>
        </w:rPr>
        <w:t>[FL4] Proposed conclusion 7-21b</w:t>
      </w:r>
      <w:r>
        <w:rPr>
          <w:rFonts w:eastAsia="微软雅黑"/>
          <w:kern w:val="0"/>
        </w:rPr>
        <w:t>’</w:t>
      </w:r>
      <w:r>
        <w:rPr>
          <w:rFonts w:hint="eastAsia" w:eastAsia="微软雅黑"/>
          <w:kern w:val="0"/>
        </w:rPr>
        <w:t xml:space="preserve"> suggested in RAN1#113 meeting, we have the following comments:</w:t>
      </w:r>
    </w:p>
    <w:p>
      <w:pPr>
        <w:numPr>
          <w:ilvl w:val="0"/>
          <w:numId w:val="26"/>
        </w:numPr>
        <w:snapToGrid w:val="0"/>
        <w:spacing w:before="72" w:beforeLines="30" w:after="72" w:afterLines="30" w:line="288" w:lineRule="auto"/>
        <w:rPr>
          <w:rFonts w:eastAsia="微软雅黑"/>
          <w:kern w:val="0"/>
        </w:rPr>
      </w:pPr>
      <w:r>
        <w:rPr>
          <w:rFonts w:hint="eastAsia" w:eastAsia="微软雅黑"/>
          <w:kern w:val="0"/>
        </w:rPr>
        <w:t xml:space="preserve">In B1, </w:t>
      </w:r>
      <w:r>
        <w:rPr>
          <w:rFonts w:eastAsia="微软雅黑"/>
          <w:kern w:val="0"/>
        </w:rPr>
        <w:t>“</w:t>
      </w:r>
      <w:r>
        <w:rPr>
          <w:rFonts w:hint="eastAsia" w:eastAsia="微软雅黑"/>
          <w:kern w:val="0"/>
        </w:rPr>
        <w:t>t</w:t>
      </w:r>
      <w:r>
        <w:rPr>
          <w:rFonts w:eastAsia="微软雅黑"/>
          <w:kern w:val="0"/>
        </w:rPr>
        <w:t>esting” is unclear and may lead to ambiguity on whether it is talking about RAN4 testing or other testing. “Offline compiling” may be enough</w:t>
      </w:r>
      <w:r>
        <w:rPr>
          <w:rFonts w:hint="eastAsia" w:eastAsia="微软雅黑"/>
          <w:kern w:val="0"/>
        </w:rPr>
        <w:t>.</w:t>
      </w:r>
    </w:p>
    <w:p>
      <w:pPr>
        <w:numPr>
          <w:ilvl w:val="0"/>
          <w:numId w:val="26"/>
        </w:numPr>
        <w:snapToGrid w:val="0"/>
        <w:spacing w:before="72" w:beforeLines="30" w:after="72" w:afterLines="30" w:line="288" w:lineRule="auto"/>
        <w:rPr>
          <w:rFonts w:eastAsia="微软雅黑"/>
          <w:kern w:val="0"/>
        </w:rPr>
      </w:pPr>
      <w:r>
        <w:rPr>
          <w:rFonts w:hint="eastAsia" w:eastAsia="微软雅黑"/>
          <w:kern w:val="0"/>
        </w:rPr>
        <w:t>In B3 and B4, he benefits should be decoupled with two</w:t>
      </w:r>
      <w:r>
        <w:rPr>
          <w:rFonts w:eastAsia="微软雅黑"/>
          <w:kern w:val="0"/>
        </w:rPr>
        <w:t>-</w:t>
      </w:r>
      <w:r>
        <w:rPr>
          <w:rFonts w:hint="eastAsia" w:eastAsia="微软雅黑"/>
          <w:kern w:val="0"/>
        </w:rPr>
        <w:t>sided model as both one-sided and two-sided model have similar benefits over Case y.</w:t>
      </w:r>
    </w:p>
    <w:p>
      <w:pPr>
        <w:numPr>
          <w:ilvl w:val="0"/>
          <w:numId w:val="26"/>
        </w:numPr>
        <w:snapToGrid w:val="0"/>
        <w:spacing w:before="72" w:beforeLines="30" w:after="72" w:afterLines="30" w:line="288" w:lineRule="auto"/>
        <w:rPr>
          <w:rFonts w:eastAsia="微软雅黑"/>
          <w:kern w:val="0"/>
        </w:rPr>
      </w:pPr>
      <w:r>
        <w:rPr>
          <w:rFonts w:hint="eastAsia" w:eastAsia="微软雅黑"/>
          <w:kern w:val="0"/>
        </w:rPr>
        <w:t>Case y may have</w:t>
      </w:r>
      <w:r>
        <w:rPr>
          <w:rFonts w:eastAsia="微软雅黑"/>
          <w:kern w:val="0"/>
        </w:rPr>
        <w:t xml:space="preserve"> difficulty for offline training dataset exchange/exposure from network side to outside 3GPP network.</w:t>
      </w:r>
    </w:p>
    <w:p>
      <w:pPr>
        <w:numPr>
          <w:ilvl w:val="0"/>
          <w:numId w:val="26"/>
        </w:numPr>
        <w:snapToGrid w:val="0"/>
        <w:spacing w:before="72" w:beforeLines="30" w:after="72" w:afterLines="30" w:line="288" w:lineRule="auto"/>
        <w:rPr>
          <w:rFonts w:eastAsia="微软雅黑"/>
          <w:kern w:val="0"/>
        </w:rPr>
      </w:pPr>
      <w:r>
        <w:rPr>
          <w:rFonts w:eastAsia="微软雅黑"/>
          <w:kern w:val="0"/>
        </w:rPr>
        <w:t>B</w:t>
      </w:r>
      <w:r>
        <w:rPr>
          <w:rFonts w:hint="eastAsia" w:eastAsia="微软雅黑"/>
          <w:kern w:val="0"/>
        </w:rPr>
        <w:t>enefits of model transfer also include s</w:t>
      </w:r>
      <w:r>
        <w:rPr>
          <w:rFonts w:eastAsia="微软雅黑"/>
          <w:kern w:val="0"/>
        </w:rPr>
        <w:t xml:space="preserve">maller end to end model delivery latency from model storage </w:t>
      </w:r>
      <w:r>
        <w:rPr>
          <w:rFonts w:hint="eastAsia" w:eastAsia="微软雅黑"/>
          <w:kern w:val="0"/>
        </w:rPr>
        <w:t xml:space="preserve">location </w:t>
      </w:r>
      <w:r>
        <w:rPr>
          <w:rFonts w:eastAsia="微软雅黑"/>
          <w:kern w:val="0"/>
        </w:rPr>
        <w:t>to UE and less requirement on user consent for delivering model in non-3GPP way</w:t>
      </w:r>
      <w:r>
        <w:rPr>
          <w:rFonts w:hint="eastAsia" w:eastAsia="微软雅黑"/>
          <w:kern w:val="0"/>
        </w:rPr>
        <w:t>.</w:t>
      </w:r>
    </w:p>
    <w:p>
      <w:pPr>
        <w:numPr>
          <w:ilvl w:val="0"/>
          <w:numId w:val="26"/>
        </w:numPr>
        <w:snapToGrid w:val="0"/>
        <w:spacing w:before="72" w:beforeLines="30" w:after="72" w:afterLines="30" w:line="288" w:lineRule="auto"/>
        <w:rPr>
          <w:rFonts w:eastAsia="微软雅黑"/>
          <w:kern w:val="0"/>
        </w:rPr>
      </w:pPr>
      <w:r>
        <w:rPr>
          <w:rFonts w:hint="eastAsia" w:eastAsia="微软雅黑"/>
          <w:kern w:val="0"/>
        </w:rPr>
        <w:t xml:space="preserve">In </w:t>
      </w:r>
      <w:r>
        <w:rPr>
          <w:rFonts w:eastAsia="微软雅黑"/>
          <w:kern w:val="0"/>
        </w:rPr>
        <w:t xml:space="preserve">C3, the wording ‘design secret’ is ambiguous. If there is no device specific design decisions and the model </w:t>
      </w:r>
      <w:r>
        <w:rPr>
          <w:rFonts w:hint="eastAsia" w:eastAsia="微软雅黑"/>
          <w:kern w:val="0"/>
        </w:rPr>
        <w:t xml:space="preserve">structure </w:t>
      </w:r>
      <w:r>
        <w:rPr>
          <w:rFonts w:eastAsia="微软雅黑"/>
          <w:kern w:val="0"/>
        </w:rPr>
        <w:t xml:space="preserve">is widely known, the challenge may not be </w:t>
      </w:r>
      <w:r>
        <w:rPr>
          <w:rFonts w:hint="eastAsia" w:eastAsia="微软雅黑"/>
          <w:kern w:val="0"/>
        </w:rPr>
        <w:t xml:space="preserve">a </w:t>
      </w:r>
      <w:r>
        <w:rPr>
          <w:rFonts w:eastAsia="微软雅黑"/>
          <w:kern w:val="0"/>
        </w:rPr>
        <w:t>concern.</w:t>
      </w:r>
    </w:p>
    <w:p>
      <w:pPr>
        <w:numPr>
          <w:ilvl w:val="0"/>
          <w:numId w:val="26"/>
        </w:numPr>
        <w:snapToGrid w:val="0"/>
        <w:spacing w:before="72" w:beforeLines="30" w:after="72" w:afterLines="30" w:line="288" w:lineRule="auto"/>
        <w:rPr>
          <w:rFonts w:eastAsia="微软雅黑"/>
          <w:kern w:val="0"/>
        </w:rPr>
      </w:pPr>
      <w:r>
        <w:rPr>
          <w:rFonts w:eastAsia="微软雅黑"/>
          <w:kern w:val="0"/>
        </w:rPr>
        <w:t>Accepting new parameters may not be a challenge if the model is compiled in a way that could be updated with new parameters. Re-compilation is also not needed.</w:t>
      </w:r>
    </w:p>
    <w:p>
      <w:pPr>
        <w:numPr>
          <w:ilvl w:val="0"/>
          <w:numId w:val="26"/>
        </w:numPr>
        <w:snapToGrid w:val="0"/>
        <w:spacing w:before="72" w:beforeLines="30" w:after="72" w:afterLines="30" w:line="288" w:lineRule="auto"/>
        <w:rPr>
          <w:rFonts w:eastAsia="微软雅黑"/>
          <w:kern w:val="0"/>
        </w:rPr>
      </w:pPr>
      <w:r>
        <w:rPr>
          <w:rFonts w:eastAsia="微软雅黑"/>
          <w:kern w:val="0"/>
        </w:rPr>
        <w:t xml:space="preserve">C5 and C9 are basically talking about the same thing: performance may not be 100% guaranteed without full awareness of the </w:t>
      </w:r>
      <w:r>
        <w:t>software/hardware</w:t>
      </w:r>
      <w:r>
        <w:rPr>
          <w:rFonts w:hint="eastAsia"/>
        </w:rPr>
        <w:t xml:space="preserve"> </w:t>
      </w:r>
      <w:r>
        <w:rPr>
          <w:rFonts w:eastAsia="微软雅黑"/>
          <w:kern w:val="0"/>
        </w:rPr>
        <w:t xml:space="preserve">environment </w:t>
      </w:r>
      <w:r>
        <w:rPr>
          <w:rFonts w:hint="eastAsia" w:eastAsia="微软雅黑"/>
          <w:kern w:val="0"/>
        </w:rPr>
        <w:t>of</w:t>
      </w:r>
      <w:r>
        <w:rPr>
          <w:rFonts w:eastAsia="微软雅黑"/>
          <w:kern w:val="0"/>
        </w:rPr>
        <w:t xml:space="preserve"> the UE side. Thus these two should be combined.</w:t>
      </w:r>
      <w:r>
        <w:rPr>
          <w:rFonts w:hint="eastAsia" w:eastAsia="微软雅黑"/>
          <w:kern w:val="0"/>
        </w:rPr>
        <w:t xml:space="preserve"> </w:t>
      </w:r>
      <w:r>
        <w:rPr>
          <w:rFonts w:eastAsia="微软雅黑"/>
          <w:kern w:val="0"/>
        </w:rPr>
        <w:t xml:space="preserve">Quantization alignment would resolve this concern since the model training entity would guarantee the performance after quantization. Moreover, the model performance can be monitored/assessed after the model is deployed. </w:t>
      </w:r>
    </w:p>
    <w:p>
      <w:pPr>
        <w:numPr>
          <w:ilvl w:val="0"/>
          <w:numId w:val="26"/>
        </w:numPr>
        <w:snapToGrid w:val="0"/>
        <w:spacing w:before="72" w:beforeLines="30" w:after="72" w:afterLines="30" w:line="288" w:lineRule="auto"/>
        <w:rPr>
          <w:rFonts w:eastAsia="微软雅黑"/>
          <w:kern w:val="0"/>
        </w:rPr>
      </w:pPr>
      <w:r>
        <w:rPr>
          <w:rFonts w:hint="eastAsia" w:eastAsia="微软雅黑"/>
          <w:kern w:val="0"/>
        </w:rPr>
        <w:t xml:space="preserve">Case </w:t>
      </w:r>
      <w:r>
        <w:rPr>
          <w:rFonts w:eastAsia="微软雅黑"/>
          <w:kern w:val="0"/>
        </w:rPr>
        <w:t>z1~z3 has larger timescale and more co-engineering than level y</w:t>
      </w:r>
      <w:r>
        <w:rPr>
          <w:rFonts w:hint="eastAsia" w:eastAsia="微软雅黑"/>
          <w:kern w:val="0"/>
        </w:rPr>
        <w:t xml:space="preserve"> when the model training location (or offline compiling location) and model storage location are not on the same side.</w:t>
      </w:r>
    </w:p>
    <w:p>
      <w:pPr>
        <w:numPr>
          <w:ilvl w:val="0"/>
          <w:numId w:val="26"/>
        </w:numPr>
        <w:snapToGrid w:val="0"/>
        <w:spacing w:before="72" w:beforeLines="30" w:after="72" w:afterLines="30" w:line="288" w:lineRule="auto"/>
        <w:rPr>
          <w:rFonts w:eastAsia="微软雅黑"/>
          <w:kern w:val="0"/>
        </w:rPr>
      </w:pPr>
      <w:r>
        <w:rPr>
          <w:rFonts w:eastAsia="微软雅黑"/>
          <w:kern w:val="0"/>
        </w:rPr>
        <w:t>C11 is unclear on “running an unknown model structure”</w:t>
      </w:r>
      <w:r>
        <w:rPr>
          <w:rFonts w:hint="eastAsia" w:eastAsia="微软雅黑"/>
          <w:kern w:val="0"/>
        </w:rPr>
        <w:t xml:space="preserve">. It refers to </w:t>
      </w:r>
      <w:r>
        <w:rPr>
          <w:rFonts w:eastAsia="微软雅黑"/>
          <w:kern w:val="0"/>
        </w:rPr>
        <w:t xml:space="preserve">“converting an unknown structure into </w:t>
      </w:r>
      <w:r>
        <w:rPr>
          <w:rFonts w:hint="eastAsia" w:eastAsia="微软雅黑"/>
          <w:kern w:val="0"/>
        </w:rPr>
        <w:t xml:space="preserve">an </w:t>
      </w:r>
      <w:r>
        <w:rPr>
          <w:rFonts w:eastAsia="微软雅黑"/>
          <w:kern w:val="0"/>
        </w:rPr>
        <w:t>executable format”</w:t>
      </w:r>
      <w:r>
        <w:rPr>
          <w:rFonts w:hint="eastAsia" w:eastAsia="微软雅黑"/>
          <w:kern w:val="0"/>
        </w:rPr>
        <w:t>.</w:t>
      </w:r>
    </w:p>
    <w:p>
      <w:pPr>
        <w:numPr>
          <w:ilvl w:val="0"/>
          <w:numId w:val="26"/>
        </w:numPr>
        <w:snapToGrid w:val="0"/>
        <w:spacing w:before="72" w:beforeLines="30" w:after="72" w:afterLines="30" w:line="288" w:lineRule="auto"/>
        <w:rPr>
          <w:rFonts w:eastAsia="微软雅黑"/>
          <w:kern w:val="0"/>
        </w:rPr>
      </w:pPr>
      <w:r>
        <w:rPr>
          <w:rFonts w:eastAsia="微软雅黑"/>
          <w:kern w:val="0"/>
        </w:rPr>
        <w:t>S1 may not be needed for cases that 3GPP only specif</w:t>
      </w:r>
      <w:r>
        <w:rPr>
          <w:rFonts w:hint="eastAsia" w:eastAsia="微软雅黑"/>
          <w:kern w:val="0"/>
        </w:rPr>
        <w:t>ies</w:t>
      </w:r>
      <w:r>
        <w:rPr>
          <w:rFonts w:eastAsia="微软雅黑"/>
          <w:kern w:val="0"/>
        </w:rPr>
        <w:t xml:space="preserve"> ways to align model format. Furthermore, 3GPP already has similar mechanisms specified in other WGs</w:t>
      </w:r>
      <w:r>
        <w:rPr>
          <w:rFonts w:hint="eastAsia" w:eastAsia="微软雅黑"/>
          <w:kern w:val="0"/>
        </w:rPr>
        <w:t xml:space="preserve"> for the model format alignment between network and UE, such as </w:t>
      </w:r>
      <w:r>
        <w:rPr>
          <w:rFonts w:hint="eastAsia"/>
        </w:rPr>
        <w:t>the i</w:t>
      </w:r>
      <w:r>
        <w:t>nteroperability token defined by SA2</w:t>
      </w:r>
      <w:r>
        <w:rPr>
          <w:rFonts w:eastAsia="微软雅黑"/>
          <w:kern w:val="0"/>
        </w:rPr>
        <w:t>.</w:t>
      </w:r>
    </w:p>
    <w:p>
      <w:pPr>
        <w:numPr>
          <w:ilvl w:val="0"/>
          <w:numId w:val="26"/>
        </w:numPr>
        <w:snapToGrid w:val="0"/>
        <w:spacing w:before="72" w:beforeLines="30" w:after="72" w:afterLines="30" w:line="288" w:lineRule="auto"/>
        <w:rPr>
          <w:rFonts w:eastAsia="微软雅黑"/>
          <w:kern w:val="0"/>
        </w:rPr>
      </w:pPr>
      <w:r>
        <w:rPr>
          <w:rFonts w:eastAsia="微软雅黑"/>
          <w:kern w:val="0"/>
        </w:rPr>
        <w:t>S2 is mainly targeting unknown model structure. Thus,</w:t>
      </w:r>
      <w:r>
        <w:rPr>
          <w:rFonts w:hint="eastAsia" w:eastAsia="微软雅黑"/>
          <w:kern w:val="0"/>
        </w:rPr>
        <w:t xml:space="preserve"> </w:t>
      </w:r>
      <w:r>
        <w:rPr>
          <w:rFonts w:eastAsia="微软雅黑"/>
          <w:kern w:val="0"/>
        </w:rPr>
        <w:t xml:space="preserve">S2 </w:t>
      </w:r>
      <w:r>
        <w:rPr>
          <w:rFonts w:hint="eastAsia" w:eastAsia="微软雅黑"/>
          <w:kern w:val="0"/>
        </w:rPr>
        <w:t>should</w:t>
      </w:r>
      <w:r>
        <w:rPr>
          <w:rFonts w:eastAsia="微软雅黑"/>
          <w:kern w:val="0"/>
        </w:rPr>
        <w:t xml:space="preserve"> be</w:t>
      </w:r>
      <w:r>
        <w:rPr>
          <w:rFonts w:hint="eastAsia" w:eastAsia="微软雅黑"/>
          <w:kern w:val="0"/>
        </w:rPr>
        <w:t xml:space="preserve"> </w:t>
      </w:r>
      <w:r>
        <w:rPr>
          <w:rFonts w:eastAsia="微软雅黑"/>
          <w:kern w:val="0"/>
        </w:rPr>
        <w:t>clear on this.</w:t>
      </w:r>
    </w:p>
    <w:p>
      <w:pPr>
        <w:numPr>
          <w:ilvl w:val="0"/>
          <w:numId w:val="26"/>
        </w:numPr>
        <w:snapToGrid w:val="0"/>
        <w:spacing w:before="72" w:beforeLines="30" w:after="72" w:afterLines="30" w:line="288" w:lineRule="auto"/>
        <w:rPr>
          <w:rFonts w:eastAsia="微软雅黑"/>
          <w:kern w:val="0"/>
        </w:rPr>
      </w:pPr>
      <w:r>
        <w:rPr>
          <w:rFonts w:eastAsia="微软雅黑"/>
          <w:kern w:val="0"/>
        </w:rPr>
        <w:t>Comparison of level y to different model transfer cases (z1~z5) should be split into two tables.</w:t>
      </w:r>
      <w:r>
        <w:rPr>
          <w:rFonts w:hint="eastAsia" w:eastAsia="微软雅黑"/>
          <w:kern w:val="0"/>
        </w:rPr>
        <w:t xml:space="preserve"> </w:t>
      </w:r>
      <w:r>
        <w:rPr>
          <w:rFonts w:eastAsia="微软雅黑"/>
          <w:kern w:val="0"/>
        </w:rPr>
        <w:t>One</w:t>
      </w:r>
      <w:r>
        <w:rPr>
          <w:rFonts w:hint="eastAsia" w:eastAsia="微软雅黑"/>
          <w:kern w:val="0"/>
        </w:rPr>
        <w:t xml:space="preserve"> table</w:t>
      </w:r>
      <w:r>
        <w:rPr>
          <w:rFonts w:eastAsia="微软雅黑"/>
          <w:kern w:val="0"/>
        </w:rPr>
        <w:t xml:space="preserve"> </w:t>
      </w:r>
      <w:r>
        <w:rPr>
          <w:rFonts w:hint="eastAsia" w:eastAsia="微软雅黑"/>
          <w:kern w:val="0"/>
        </w:rPr>
        <w:t xml:space="preserve">is </w:t>
      </w:r>
      <w:r>
        <w:rPr>
          <w:rFonts w:eastAsia="微软雅黑"/>
          <w:kern w:val="0"/>
        </w:rPr>
        <w:t xml:space="preserve">for network side training and another </w:t>
      </w:r>
      <w:r>
        <w:rPr>
          <w:rFonts w:hint="eastAsia" w:eastAsia="微软雅黑"/>
          <w:kern w:val="0"/>
        </w:rPr>
        <w:t xml:space="preserve">table is </w:t>
      </w:r>
      <w:r>
        <w:rPr>
          <w:rFonts w:eastAsia="微软雅黑"/>
          <w:kern w:val="0"/>
        </w:rPr>
        <w:t>for UE side/neutral site training.</w:t>
      </w:r>
      <w:r>
        <w:rPr>
          <w:rFonts w:hint="eastAsia" w:eastAsia="微软雅黑"/>
          <w:kern w:val="0"/>
        </w:rPr>
        <w:t xml:space="preserve"> </w:t>
      </w:r>
      <w:r>
        <w:rPr>
          <w:rFonts w:eastAsia="微软雅黑"/>
          <w:kern w:val="0"/>
        </w:rPr>
        <w:t xml:space="preserve">The reason for such split is that comparison baseline for level y should be made clear on whether </w:t>
      </w:r>
      <w:r>
        <w:rPr>
          <w:rFonts w:hint="eastAsia" w:eastAsia="微软雅黑"/>
          <w:kern w:val="0"/>
        </w:rPr>
        <w:t xml:space="preserve">the training location of </w:t>
      </w:r>
      <w:r>
        <w:rPr>
          <w:rFonts w:eastAsia="微软雅黑"/>
          <w:kern w:val="0"/>
        </w:rPr>
        <w:t xml:space="preserve">level y is </w:t>
      </w:r>
      <w:r>
        <w:rPr>
          <w:rFonts w:hint="eastAsia" w:eastAsia="微软雅黑"/>
          <w:kern w:val="0"/>
        </w:rPr>
        <w:t xml:space="preserve">resided at the </w:t>
      </w:r>
      <w:r>
        <w:rPr>
          <w:rFonts w:eastAsia="微软雅黑"/>
          <w:kern w:val="0"/>
        </w:rPr>
        <w:t>network side or UE side/neutral site.</w:t>
      </w:r>
    </w:p>
    <w:p>
      <w:pPr>
        <w:snapToGrid w:val="0"/>
        <w:spacing w:before="72" w:beforeLines="30" w:after="72" w:afterLines="30" w:line="288" w:lineRule="auto"/>
        <w:rPr>
          <w:rFonts w:eastAsia="微软雅黑"/>
          <w:kern w:val="0"/>
        </w:rPr>
      </w:pPr>
      <w:r>
        <w:rPr>
          <w:rFonts w:hint="eastAsia" w:eastAsia="微软雅黑"/>
          <w:kern w:val="0"/>
        </w:rPr>
        <w:t>With the above comments, we have the following proposal.</w:t>
      </w:r>
    </w:p>
    <w:p>
      <w:pPr>
        <w:pStyle w:val="30"/>
        <w:spacing w:before="72" w:after="72"/>
        <w:jc w:val="both"/>
        <w:rPr>
          <w:lang w:val="en-US"/>
        </w:rPr>
      </w:pPr>
      <w:bookmarkStart w:id="24" w:name="_Toc23696"/>
      <w:bookmarkStart w:id="25" w:name="_Toc24270"/>
      <w:r>
        <w:rPr>
          <w:rFonts w:hint="eastAsia"/>
          <w:lang w:val="en-US"/>
        </w:rPr>
        <w:t>Conclude the different model transfer/delivery options in terms of benefits, challenges, and specification impacts based on the following tables:</w:t>
      </w:r>
      <w:bookmarkEnd w:id="24"/>
      <w:bookmarkEnd w:id="25"/>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7"/>
        <w:gridCol w:w="1783"/>
        <w:gridCol w:w="2980"/>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dxa"/>
          </w:tcPr>
          <w:p>
            <w:pPr>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textAlignment w:val="auto"/>
              <w:rPr>
                <w:rFonts w:eastAsia="宋体"/>
              </w:rPr>
            </w:pPr>
            <w:r>
              <w:rPr>
                <w:rFonts w:eastAsia="宋体"/>
              </w:rPr>
              <w:t>Network-side training</w:t>
            </w:r>
          </w:p>
        </w:tc>
        <w:tc>
          <w:tcPr>
            <w:tcW w:w="1596" w:type="dxa"/>
          </w:tcPr>
          <w:p>
            <w:pPr>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textAlignment w:val="auto"/>
              <w:rPr>
                <w:lang w:val="en-GB"/>
              </w:rPr>
            </w:pPr>
            <w:r>
              <w:rPr>
                <w:lang w:val="en-GB"/>
              </w:rPr>
              <w:t>Benefits</w:t>
            </w:r>
          </w:p>
        </w:tc>
        <w:tc>
          <w:tcPr>
            <w:tcW w:w="2988" w:type="dxa"/>
          </w:tcPr>
          <w:p>
            <w:pPr>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textAlignment w:val="auto"/>
              <w:rPr>
                <w:lang w:val="en-GB"/>
              </w:rPr>
            </w:pPr>
            <w:r>
              <w:rPr>
                <w:lang w:val="en-GB"/>
              </w:rPr>
              <w:t>Challenges / requirements</w:t>
            </w:r>
          </w:p>
        </w:tc>
        <w:tc>
          <w:tcPr>
            <w:tcW w:w="2777" w:type="dxa"/>
          </w:tcPr>
          <w:p>
            <w:pPr>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textAlignment w:val="auto"/>
              <w:rPr>
                <w:lang w:val="en-GB"/>
              </w:rPr>
            </w:pPr>
            <w:r>
              <w:rPr>
                <w:lang w:val="en-GB"/>
              </w:rPr>
              <w:t xml:space="preserve">Potential specification impact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dxa"/>
          </w:tcPr>
          <w:p>
            <w:pPr>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textAlignment w:val="auto"/>
              <w:rPr>
                <w:lang w:val="en-GB"/>
              </w:rPr>
            </w:pPr>
            <w:r>
              <w:rPr>
                <w:lang w:val="en-GB"/>
              </w:rPr>
              <w:t>y</w:t>
            </w:r>
          </w:p>
        </w:tc>
        <w:tc>
          <w:tcPr>
            <w:tcW w:w="1596" w:type="dxa"/>
          </w:tcPr>
          <w:p>
            <w:pPr>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textAlignment w:val="auto"/>
              <w:rPr>
                <w:lang w:val="en-GB"/>
              </w:rPr>
            </w:pPr>
            <w:r>
              <w:rPr>
                <w:lang w:val="en-GB"/>
              </w:rPr>
              <w:t>-</w:t>
            </w:r>
          </w:p>
        </w:tc>
        <w:tc>
          <w:tcPr>
            <w:tcW w:w="2988" w:type="dxa"/>
          </w:tcPr>
          <w:p>
            <w:pPr>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textAlignment w:val="auto"/>
              <w:rPr>
                <w:lang w:val="en-GB"/>
              </w:rPr>
            </w:pPr>
            <w:r>
              <w:rPr>
                <w:lang w:val="en-GB"/>
              </w:rPr>
              <w:t>-</w:t>
            </w:r>
          </w:p>
        </w:tc>
        <w:tc>
          <w:tcPr>
            <w:tcW w:w="2777" w:type="dxa"/>
          </w:tcPr>
          <w:p>
            <w:pPr>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textAlignment w:val="auto"/>
              <w:rPr>
                <w:lang w:val="en-GB"/>
              </w:rPr>
            </w:pPr>
            <w:r>
              <w:rPr>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rPr>
            </w:pPr>
            <w:r>
              <w:rPr>
                <w:sz w:val="20"/>
              </w:rPr>
              <w:t>Z2</w:t>
            </w:r>
          </w:p>
        </w:tc>
        <w:tc>
          <w:tcPr>
            <w:tcW w:w="1596"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trike/>
                <w:sz w:val="20"/>
                <w:lang w:eastAsia="zh-CN"/>
              </w:rPr>
            </w:pPr>
            <w:r>
              <w:rPr>
                <w:sz w:val="20"/>
              </w:rPr>
              <w:t>B</w:t>
            </w:r>
            <w:r>
              <w:rPr>
                <w:rFonts w:hint="eastAsia"/>
                <w:sz w:val="20"/>
                <w:lang w:val="en-US" w:eastAsia="zh-CN"/>
              </w:rPr>
              <w:t>4</w:t>
            </w:r>
            <w:r>
              <w:rPr>
                <w:sz w:val="20"/>
              </w:rPr>
              <w:t>, B</w:t>
            </w:r>
            <w:r>
              <w:rPr>
                <w:rFonts w:hint="eastAsia"/>
                <w:sz w:val="20"/>
                <w:lang w:val="en-US" w:eastAsia="zh-CN"/>
              </w:rPr>
              <w:t>5</w:t>
            </w:r>
          </w:p>
        </w:tc>
        <w:tc>
          <w:tcPr>
            <w:tcW w:w="2988"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lang w:val="en-US" w:eastAsia="zh-CN"/>
              </w:rPr>
            </w:pPr>
            <w:r>
              <w:rPr>
                <w:sz w:val="20"/>
              </w:rPr>
              <w:t>C</w:t>
            </w:r>
            <w:r>
              <w:rPr>
                <w:rFonts w:hint="eastAsia"/>
                <w:sz w:val="20"/>
                <w:lang w:val="en-US" w:eastAsia="zh-CN"/>
              </w:rPr>
              <w:t>1</w:t>
            </w:r>
            <w:r>
              <w:rPr>
                <w:sz w:val="20"/>
              </w:rPr>
              <w:t>, C</w:t>
            </w:r>
            <w:r>
              <w:rPr>
                <w:rFonts w:hint="eastAsia"/>
                <w:sz w:val="20"/>
                <w:lang w:val="en-US" w:eastAsia="zh-CN"/>
              </w:rPr>
              <w:t>3</w:t>
            </w:r>
            <w:r>
              <w:rPr>
                <w:sz w:val="20"/>
              </w:rPr>
              <w:t>, C</w:t>
            </w:r>
            <w:r>
              <w:rPr>
                <w:rFonts w:hint="eastAsia"/>
                <w:sz w:val="20"/>
                <w:lang w:val="en-US" w:eastAsia="zh-CN"/>
              </w:rPr>
              <w:t>4</w:t>
            </w:r>
          </w:p>
        </w:tc>
        <w:tc>
          <w:tcPr>
            <w:tcW w:w="2777"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rPr>
            </w:pPr>
            <w:r>
              <w:rPr>
                <w:sz w:val="20"/>
              </w:rPr>
              <w:t>S0, [S1]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rPr>
            </w:pPr>
            <w:r>
              <w:rPr>
                <w:sz w:val="20"/>
              </w:rPr>
              <w:t>Z4</w:t>
            </w:r>
          </w:p>
        </w:tc>
        <w:tc>
          <w:tcPr>
            <w:tcW w:w="1596"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lang w:val="en-US" w:eastAsia="zh-CN"/>
              </w:rPr>
            </w:pPr>
            <w:r>
              <w:rPr>
                <w:sz w:val="20"/>
              </w:rPr>
              <w:t>B1, B</w:t>
            </w:r>
            <w:r>
              <w:rPr>
                <w:rFonts w:hint="eastAsia"/>
                <w:sz w:val="20"/>
                <w:lang w:val="en-US" w:eastAsia="zh-CN"/>
              </w:rPr>
              <w:t>3</w:t>
            </w:r>
            <w:r>
              <w:rPr>
                <w:sz w:val="20"/>
              </w:rPr>
              <w:t>, B</w:t>
            </w:r>
            <w:r>
              <w:rPr>
                <w:rFonts w:hint="eastAsia"/>
                <w:sz w:val="20"/>
                <w:lang w:val="en-US" w:eastAsia="zh-CN"/>
              </w:rPr>
              <w:t>4</w:t>
            </w:r>
            <w:r>
              <w:rPr>
                <w:sz w:val="20"/>
              </w:rPr>
              <w:t>, </w:t>
            </w:r>
            <w:r>
              <w:rPr>
                <w:rFonts w:hint="eastAsia"/>
                <w:sz w:val="20"/>
                <w:lang w:val="en-US" w:eastAsia="zh-CN"/>
              </w:rPr>
              <w:t>B5</w:t>
            </w:r>
          </w:p>
        </w:tc>
        <w:tc>
          <w:tcPr>
            <w:tcW w:w="2988"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lang w:eastAsia="zh-CN"/>
              </w:rPr>
            </w:pPr>
            <w:r>
              <w:rPr>
                <w:sz w:val="20"/>
              </w:rPr>
              <w:t>C</w:t>
            </w:r>
            <w:r>
              <w:rPr>
                <w:rFonts w:hint="eastAsia"/>
                <w:sz w:val="20"/>
                <w:lang w:val="en-US" w:eastAsia="zh-CN"/>
              </w:rPr>
              <w:t>1</w:t>
            </w:r>
            <w:r>
              <w:rPr>
                <w:sz w:val="20"/>
              </w:rPr>
              <w:t>, C</w:t>
            </w:r>
            <w:r>
              <w:rPr>
                <w:rFonts w:hint="eastAsia"/>
                <w:sz w:val="20"/>
                <w:lang w:val="en-US" w:eastAsia="zh-CN"/>
              </w:rPr>
              <w:t>2</w:t>
            </w:r>
            <w:r>
              <w:rPr>
                <w:sz w:val="20"/>
              </w:rPr>
              <w:t>, C</w:t>
            </w:r>
            <w:r>
              <w:rPr>
                <w:rFonts w:hint="eastAsia"/>
                <w:sz w:val="20"/>
                <w:lang w:val="en-US" w:eastAsia="zh-CN"/>
              </w:rPr>
              <w:t>3</w:t>
            </w:r>
          </w:p>
        </w:tc>
        <w:tc>
          <w:tcPr>
            <w:tcW w:w="2777"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rPr>
            </w:pPr>
            <w:r>
              <w:rPr>
                <w:sz w:val="20"/>
              </w:rPr>
              <w:t>S0, 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rPr>
            </w:pPr>
            <w:r>
              <w:rPr>
                <w:sz w:val="20"/>
              </w:rPr>
              <w:t>Z5</w:t>
            </w:r>
          </w:p>
        </w:tc>
        <w:tc>
          <w:tcPr>
            <w:tcW w:w="1596"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lang w:val="en-US" w:eastAsia="zh-CN"/>
              </w:rPr>
            </w:pPr>
            <w:r>
              <w:rPr>
                <w:sz w:val="20"/>
              </w:rPr>
              <w:t>B1, B</w:t>
            </w:r>
            <w:r>
              <w:rPr>
                <w:rFonts w:hint="eastAsia"/>
                <w:sz w:val="20"/>
                <w:lang w:val="en-US" w:eastAsia="zh-CN"/>
              </w:rPr>
              <w:t>2</w:t>
            </w:r>
            <w:r>
              <w:rPr>
                <w:sz w:val="20"/>
              </w:rPr>
              <w:t>, B</w:t>
            </w:r>
            <w:r>
              <w:rPr>
                <w:rFonts w:hint="eastAsia"/>
                <w:sz w:val="20"/>
                <w:lang w:val="en-US" w:eastAsia="zh-CN"/>
              </w:rPr>
              <w:t>3</w:t>
            </w:r>
            <w:r>
              <w:rPr>
                <w:sz w:val="20"/>
              </w:rPr>
              <w:t>, B</w:t>
            </w:r>
            <w:r>
              <w:rPr>
                <w:rFonts w:hint="eastAsia"/>
                <w:sz w:val="20"/>
                <w:lang w:val="en-US" w:eastAsia="zh-CN"/>
              </w:rPr>
              <w:t>4</w:t>
            </w:r>
            <w:r>
              <w:rPr>
                <w:sz w:val="20"/>
              </w:rPr>
              <w:t>, B</w:t>
            </w:r>
            <w:r>
              <w:rPr>
                <w:rFonts w:hint="eastAsia"/>
                <w:sz w:val="20"/>
                <w:lang w:val="en-US" w:eastAsia="zh-CN"/>
              </w:rPr>
              <w:t>5</w:t>
            </w:r>
          </w:p>
        </w:tc>
        <w:tc>
          <w:tcPr>
            <w:tcW w:w="2988"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lang w:eastAsia="zh-CN"/>
              </w:rPr>
            </w:pPr>
            <w:r>
              <w:rPr>
                <w:sz w:val="20"/>
              </w:rPr>
              <w:t>C</w:t>
            </w:r>
            <w:r>
              <w:rPr>
                <w:rFonts w:hint="eastAsia"/>
                <w:sz w:val="20"/>
                <w:lang w:val="en-US" w:eastAsia="zh-CN"/>
              </w:rPr>
              <w:t>1</w:t>
            </w:r>
            <w:r>
              <w:rPr>
                <w:sz w:val="20"/>
              </w:rPr>
              <w:t>, C</w:t>
            </w:r>
            <w:r>
              <w:rPr>
                <w:rFonts w:hint="eastAsia"/>
                <w:sz w:val="20"/>
                <w:lang w:val="en-US" w:eastAsia="zh-CN"/>
              </w:rPr>
              <w:t>2</w:t>
            </w:r>
            <w:r>
              <w:rPr>
                <w:sz w:val="20"/>
              </w:rPr>
              <w:t>, C</w:t>
            </w:r>
            <w:r>
              <w:rPr>
                <w:rFonts w:hint="eastAsia"/>
                <w:sz w:val="20"/>
                <w:lang w:val="en-US" w:eastAsia="zh-CN"/>
              </w:rPr>
              <w:t>3</w:t>
            </w:r>
            <w:r>
              <w:rPr>
                <w:sz w:val="20"/>
              </w:rPr>
              <w:t>, C</w:t>
            </w:r>
            <w:r>
              <w:rPr>
                <w:rFonts w:hint="eastAsia"/>
                <w:sz w:val="20"/>
                <w:lang w:val="en-US" w:eastAsia="zh-CN"/>
              </w:rPr>
              <w:t>5</w:t>
            </w:r>
            <w:r>
              <w:rPr>
                <w:sz w:val="20"/>
              </w:rPr>
              <w:t>, C</w:t>
            </w:r>
            <w:r>
              <w:rPr>
                <w:rFonts w:hint="eastAsia"/>
                <w:sz w:val="20"/>
                <w:lang w:val="en-US" w:eastAsia="zh-CN"/>
              </w:rPr>
              <w:t>6</w:t>
            </w:r>
          </w:p>
        </w:tc>
        <w:tc>
          <w:tcPr>
            <w:tcW w:w="2777"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rPr>
            </w:pPr>
            <w:r>
              <w:rPr>
                <w:sz w:val="20"/>
              </w:rPr>
              <w:t>S0, S1, S2</w:t>
            </w:r>
          </w:p>
        </w:tc>
      </w:tr>
    </w:tbl>
    <w:p>
      <w:pPr>
        <w:snapToGrid w:val="0"/>
        <w:spacing w:before="72" w:beforeLines="30" w:after="72" w:afterLines="30" w:line="288" w:lineRule="auto"/>
        <w:rPr>
          <w:rFonts w:eastAsia="宋体"/>
          <w:b/>
          <w:kern w:val="0"/>
        </w:rPr>
      </w:pPr>
    </w:p>
    <w:tbl>
      <w:tblPr>
        <w:tblStyle w:val="23"/>
        <w:tblW w:w="9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8"/>
        <w:gridCol w:w="1626"/>
        <w:gridCol w:w="3044"/>
        <w:gridCol w:w="2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2398" w:type="dxa"/>
          </w:tcPr>
          <w:p>
            <w:pPr>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textAlignment w:val="auto"/>
              <w:rPr>
                <w:rFonts w:eastAsia="宋体"/>
              </w:rPr>
            </w:pPr>
            <w:r>
              <w:t>UE-side / neutral site</w:t>
            </w:r>
            <w:r>
              <w:rPr>
                <w:rFonts w:hint="eastAsia" w:eastAsia="宋体"/>
              </w:rPr>
              <w:t xml:space="preserve"> training</w:t>
            </w:r>
          </w:p>
        </w:tc>
        <w:tc>
          <w:tcPr>
            <w:tcW w:w="1626" w:type="dxa"/>
          </w:tcPr>
          <w:p>
            <w:pPr>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textAlignment w:val="auto"/>
              <w:rPr>
                <w:lang w:val="en-GB"/>
              </w:rPr>
            </w:pPr>
            <w:r>
              <w:rPr>
                <w:lang w:val="en-GB"/>
              </w:rPr>
              <w:t>Benefits</w:t>
            </w:r>
          </w:p>
        </w:tc>
        <w:tc>
          <w:tcPr>
            <w:tcW w:w="3044" w:type="dxa"/>
          </w:tcPr>
          <w:p>
            <w:pPr>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textAlignment w:val="auto"/>
              <w:rPr>
                <w:lang w:val="en-GB"/>
              </w:rPr>
            </w:pPr>
            <w:r>
              <w:rPr>
                <w:lang w:val="en-GB"/>
              </w:rPr>
              <w:t>Challenges / requirements</w:t>
            </w:r>
          </w:p>
        </w:tc>
        <w:tc>
          <w:tcPr>
            <w:tcW w:w="2829" w:type="dxa"/>
          </w:tcPr>
          <w:p>
            <w:pPr>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textAlignment w:val="auto"/>
              <w:rPr>
                <w:lang w:val="en-GB"/>
              </w:rPr>
            </w:pPr>
            <w:r>
              <w:rPr>
                <w:lang w:val="en-GB"/>
              </w:rPr>
              <w:t xml:space="preserve">Potential specification impact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398"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rPr>
            </w:pPr>
            <w:r>
              <w:rPr>
                <w:sz w:val="20"/>
              </w:rPr>
              <w:t>y</w:t>
            </w:r>
          </w:p>
        </w:tc>
        <w:tc>
          <w:tcPr>
            <w:tcW w:w="1626"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rPr>
            </w:pPr>
            <w:r>
              <w:rPr>
                <w:sz w:val="20"/>
              </w:rPr>
              <w:t>-</w:t>
            </w:r>
          </w:p>
        </w:tc>
        <w:tc>
          <w:tcPr>
            <w:tcW w:w="3044"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rPr>
            </w:pPr>
            <w:r>
              <w:rPr>
                <w:sz w:val="20"/>
              </w:rPr>
              <w:t>-</w:t>
            </w:r>
          </w:p>
        </w:tc>
        <w:tc>
          <w:tcPr>
            <w:tcW w:w="2829"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rPr>
            </w:pP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398"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rPr>
            </w:pPr>
            <w:r>
              <w:rPr>
                <w:sz w:val="20"/>
              </w:rPr>
              <w:t>Z1</w:t>
            </w:r>
          </w:p>
        </w:tc>
        <w:tc>
          <w:tcPr>
            <w:tcW w:w="1626"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trike/>
                <w:sz w:val="20"/>
                <w:lang w:val="en-US" w:eastAsia="zh-CN"/>
              </w:rPr>
            </w:pPr>
            <w:r>
              <w:rPr>
                <w:sz w:val="20"/>
              </w:rPr>
              <w:t>B</w:t>
            </w:r>
            <w:r>
              <w:rPr>
                <w:rFonts w:hint="eastAsia"/>
                <w:sz w:val="20"/>
                <w:lang w:val="en-US" w:eastAsia="zh-CN"/>
              </w:rPr>
              <w:t>5</w:t>
            </w:r>
          </w:p>
        </w:tc>
        <w:tc>
          <w:tcPr>
            <w:tcW w:w="3044"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lang w:val="en-US" w:eastAsia="zh-CN"/>
              </w:rPr>
            </w:pPr>
            <w:r>
              <w:rPr>
                <w:sz w:val="20"/>
              </w:rPr>
              <w:t>C</w:t>
            </w:r>
            <w:r>
              <w:rPr>
                <w:rFonts w:hint="eastAsia"/>
                <w:sz w:val="20"/>
                <w:lang w:val="en-US" w:eastAsia="zh-CN"/>
              </w:rPr>
              <w:t>4</w:t>
            </w:r>
          </w:p>
        </w:tc>
        <w:tc>
          <w:tcPr>
            <w:tcW w:w="2829"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rPr>
            </w:pPr>
            <w:r>
              <w:rPr>
                <w:sz w:val="20"/>
              </w:rPr>
              <w:t>S0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2398"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rPr>
            </w:pPr>
            <w:r>
              <w:rPr>
                <w:sz w:val="20"/>
              </w:rPr>
              <w:t>Z3</w:t>
            </w:r>
          </w:p>
        </w:tc>
        <w:tc>
          <w:tcPr>
            <w:tcW w:w="1626"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lang w:val="en-US" w:eastAsia="zh-CN"/>
              </w:rPr>
            </w:pPr>
            <w:r>
              <w:rPr>
                <w:sz w:val="20"/>
              </w:rPr>
              <w:t>B</w:t>
            </w:r>
            <w:r>
              <w:rPr>
                <w:rFonts w:hint="eastAsia"/>
                <w:sz w:val="20"/>
                <w:lang w:val="en-US" w:eastAsia="zh-CN"/>
              </w:rPr>
              <w:t>5</w:t>
            </w:r>
          </w:p>
        </w:tc>
        <w:tc>
          <w:tcPr>
            <w:tcW w:w="3044"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lang w:val="en-US" w:eastAsia="zh-CN"/>
              </w:rPr>
            </w:pPr>
            <w:r>
              <w:rPr>
                <w:sz w:val="20"/>
              </w:rPr>
              <w:t>C</w:t>
            </w:r>
            <w:r>
              <w:rPr>
                <w:rFonts w:hint="eastAsia"/>
                <w:sz w:val="20"/>
                <w:lang w:val="en-US" w:eastAsia="zh-CN"/>
              </w:rPr>
              <w:t>1</w:t>
            </w:r>
            <w:r>
              <w:rPr>
                <w:sz w:val="20"/>
              </w:rPr>
              <w:t>, C</w:t>
            </w:r>
            <w:r>
              <w:rPr>
                <w:rFonts w:hint="eastAsia"/>
                <w:sz w:val="20"/>
                <w:lang w:val="en-US" w:eastAsia="zh-CN"/>
              </w:rPr>
              <w:t>2</w:t>
            </w:r>
            <w:r>
              <w:rPr>
                <w:sz w:val="20"/>
              </w:rPr>
              <w:t>, C</w:t>
            </w:r>
            <w:r>
              <w:rPr>
                <w:rFonts w:hint="eastAsia"/>
                <w:sz w:val="20"/>
                <w:lang w:val="en-US" w:eastAsia="zh-CN"/>
              </w:rPr>
              <w:t>3</w:t>
            </w:r>
            <w:r>
              <w:rPr>
                <w:sz w:val="20"/>
              </w:rPr>
              <w:t>, C</w:t>
            </w:r>
            <w:r>
              <w:rPr>
                <w:rFonts w:hint="eastAsia"/>
                <w:sz w:val="20"/>
                <w:lang w:val="en-US" w:eastAsia="zh-CN"/>
              </w:rPr>
              <w:t>4</w:t>
            </w:r>
          </w:p>
        </w:tc>
        <w:tc>
          <w:tcPr>
            <w:tcW w:w="2829"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rPr>
            </w:pPr>
            <w:r>
              <w:rPr>
                <w:sz w:val="20"/>
              </w:rPr>
              <w:t>S0, S1</w:t>
            </w:r>
          </w:p>
        </w:tc>
      </w:tr>
    </w:tbl>
    <w:p>
      <w:pPr>
        <w:pStyle w:val="33"/>
        <w:spacing w:before="72" w:after="72"/>
        <w:jc w:val="both"/>
        <w:rPr>
          <w:lang w:val="en-GB"/>
        </w:rPr>
      </w:pPr>
      <w:bookmarkStart w:id="26" w:name="_Toc29325"/>
      <w:bookmarkStart w:id="27" w:name="_Toc23414"/>
      <w:r>
        <w:rPr>
          <w:lang w:val="en-GB"/>
        </w:rPr>
        <w:t>Benefits:</w:t>
      </w:r>
      <w:bookmarkEnd w:id="26"/>
      <w:bookmarkEnd w:id="27"/>
    </w:p>
    <w:p>
      <w:pPr>
        <w:pStyle w:val="35"/>
        <w:spacing w:before="72" w:after="72"/>
        <w:ind w:left="400"/>
        <w:jc w:val="both"/>
      </w:pPr>
      <w:bookmarkStart w:id="28" w:name="_Toc19348"/>
      <w:bookmarkStart w:id="29" w:name="_Toc32584"/>
      <w:r>
        <w:rPr>
          <w:lang w:val="en-GB"/>
        </w:rPr>
        <w:t xml:space="preserve">B1: </w:t>
      </w:r>
      <w:r>
        <w:t>Shorter model parameter update timescale without requiring offline compiling</w:t>
      </w:r>
      <w:bookmarkEnd w:id="28"/>
      <w:bookmarkEnd w:id="29"/>
    </w:p>
    <w:p>
      <w:pPr>
        <w:pStyle w:val="35"/>
        <w:spacing w:before="72" w:after="72"/>
        <w:ind w:left="400"/>
        <w:jc w:val="both"/>
      </w:pPr>
      <w:bookmarkStart w:id="30" w:name="_Toc6172"/>
      <w:bookmarkStart w:id="31" w:name="_Toc21882"/>
      <w:r>
        <w:t>B</w:t>
      </w:r>
      <w:r>
        <w:rPr>
          <w:rFonts w:hint="eastAsia"/>
        </w:rPr>
        <w:t>2</w:t>
      </w:r>
      <w:r>
        <w:t>: Flexibility for model structure update without</w:t>
      </w:r>
      <w:r>
        <w:rPr>
          <w:rFonts w:hint="eastAsia"/>
        </w:rPr>
        <w:t>/with less</w:t>
      </w:r>
      <w:r>
        <w:t xml:space="preserve"> offline co-engineering</w:t>
      </w:r>
      <w:bookmarkEnd w:id="30"/>
      <w:bookmarkEnd w:id="31"/>
    </w:p>
    <w:p>
      <w:pPr>
        <w:pStyle w:val="35"/>
        <w:spacing w:before="72" w:after="72"/>
        <w:ind w:left="400"/>
        <w:jc w:val="both"/>
      </w:pPr>
      <w:bookmarkStart w:id="32" w:name="_Toc3009"/>
      <w:bookmarkStart w:id="33" w:name="_Toc1788"/>
      <w:r>
        <w:t>B</w:t>
      </w:r>
      <w:r>
        <w:rPr>
          <w:rFonts w:hint="eastAsia"/>
        </w:rPr>
        <w:t>3</w:t>
      </w:r>
      <w:r>
        <w:t>: Flexibility for model parameter update without</w:t>
      </w:r>
      <w:r>
        <w:rPr>
          <w:rFonts w:hint="eastAsia"/>
        </w:rPr>
        <w:t>/with less</w:t>
      </w:r>
      <w:r>
        <w:t xml:space="preserve"> offline co-engineering</w:t>
      </w:r>
      <w:bookmarkEnd w:id="32"/>
      <w:bookmarkEnd w:id="33"/>
    </w:p>
    <w:p>
      <w:pPr>
        <w:pStyle w:val="35"/>
        <w:spacing w:before="72" w:after="72"/>
        <w:ind w:left="400"/>
        <w:jc w:val="both"/>
      </w:pPr>
      <w:bookmarkStart w:id="34" w:name="_Toc11017"/>
      <w:bookmarkStart w:id="35" w:name="_Toc17632"/>
      <w:r>
        <w:rPr>
          <w:rFonts w:hint="eastAsia"/>
        </w:rPr>
        <w:t xml:space="preserve">B4: </w:t>
      </w:r>
      <w:r>
        <w:t>Less difficulty for offline training dataset exchange/exposure from network side to outside 3GPP network.</w:t>
      </w:r>
      <w:bookmarkEnd w:id="34"/>
      <w:bookmarkEnd w:id="35"/>
    </w:p>
    <w:p>
      <w:pPr>
        <w:pStyle w:val="35"/>
        <w:spacing w:before="72" w:after="72"/>
        <w:ind w:left="400"/>
        <w:jc w:val="both"/>
      </w:pPr>
      <w:bookmarkStart w:id="36" w:name="_Toc12812"/>
      <w:bookmarkStart w:id="37" w:name="_Toc25236"/>
      <w:r>
        <w:t>B</w:t>
      </w:r>
      <w:r>
        <w:rPr>
          <w:rFonts w:hint="eastAsia"/>
        </w:rPr>
        <w:t>5</w:t>
      </w:r>
      <w:r>
        <w:t>: Smaller end to end model delivery latency from model storage to UE and less requirement on user consent for delivering model in non-3GPP way or less requirement on device storage for storing models in device.</w:t>
      </w:r>
      <w:bookmarkEnd w:id="36"/>
      <w:bookmarkEnd w:id="37"/>
    </w:p>
    <w:p>
      <w:pPr>
        <w:pStyle w:val="33"/>
        <w:spacing w:before="72" w:after="72"/>
        <w:jc w:val="both"/>
        <w:rPr>
          <w:lang w:val="en-GB"/>
        </w:rPr>
      </w:pPr>
      <w:bookmarkStart w:id="38" w:name="_Toc10381"/>
      <w:bookmarkStart w:id="39" w:name="_Toc25313"/>
      <w:r>
        <w:rPr>
          <w:lang w:val="en-GB"/>
        </w:rPr>
        <w:t>Challenges and requirements:</w:t>
      </w:r>
      <w:bookmarkEnd w:id="38"/>
      <w:bookmarkEnd w:id="39"/>
    </w:p>
    <w:p>
      <w:pPr>
        <w:pStyle w:val="35"/>
        <w:spacing w:before="72" w:after="72"/>
        <w:ind w:left="400"/>
        <w:jc w:val="both"/>
        <w:rPr>
          <w:lang w:val="en-GB"/>
        </w:rPr>
      </w:pPr>
      <w:bookmarkStart w:id="40" w:name="_Toc18887"/>
      <w:bookmarkStart w:id="41" w:name="_Toc24966"/>
      <w:r>
        <w:rPr>
          <w:lang w:val="en-GB"/>
        </w:rPr>
        <w:t>C</w:t>
      </w:r>
      <w:r>
        <w:rPr>
          <w:rFonts w:hint="eastAsia"/>
        </w:rPr>
        <w:t>1</w:t>
      </w:r>
      <w:r>
        <w:rPr>
          <w:lang w:val="en-GB"/>
        </w:rPr>
        <w:t>: Preservation of proprietary design</w:t>
      </w:r>
      <w:bookmarkEnd w:id="40"/>
      <w:bookmarkEnd w:id="41"/>
    </w:p>
    <w:p>
      <w:pPr>
        <w:pStyle w:val="35"/>
        <w:numPr>
          <w:ilvl w:val="0"/>
          <w:numId w:val="27"/>
        </w:numPr>
        <w:tabs>
          <w:tab w:val="clear" w:pos="840"/>
        </w:tabs>
        <w:spacing w:before="72" w:after="72"/>
        <w:ind w:left="820"/>
        <w:jc w:val="both"/>
        <w:rPr>
          <w:lang w:val="en-GB"/>
        </w:rPr>
      </w:pPr>
      <w:bookmarkStart w:id="42" w:name="_Toc8670"/>
      <w:bookmarkStart w:id="43" w:name="_Toc918"/>
      <w:r>
        <w:rPr>
          <w:lang w:val="en-GB"/>
        </w:rPr>
        <w:t xml:space="preserve">Note: This may not be a concern if the model </w:t>
      </w:r>
      <w:r>
        <w:rPr>
          <w:rFonts w:hint="eastAsia"/>
        </w:rPr>
        <w:t xml:space="preserve">structure </w:t>
      </w:r>
      <w:r>
        <w:rPr>
          <w:lang w:val="en-GB"/>
        </w:rPr>
        <w:t>is widely known and does not involve any device-specific design decisions.</w:t>
      </w:r>
      <w:bookmarkEnd w:id="42"/>
      <w:bookmarkEnd w:id="43"/>
    </w:p>
    <w:p>
      <w:pPr>
        <w:pStyle w:val="35"/>
        <w:spacing w:before="72" w:after="72"/>
        <w:ind w:left="400"/>
        <w:jc w:val="both"/>
        <w:rPr>
          <w:lang w:val="en-GB"/>
        </w:rPr>
      </w:pPr>
      <w:bookmarkStart w:id="44" w:name="_Toc3866"/>
      <w:bookmarkStart w:id="45" w:name="_Toc26296"/>
      <w:r>
        <w:rPr>
          <w:lang w:val="en-GB"/>
        </w:rPr>
        <w:t>C</w:t>
      </w:r>
      <w:r>
        <w:rPr>
          <w:rFonts w:hint="eastAsia"/>
        </w:rPr>
        <w:t>2</w:t>
      </w:r>
      <w:r>
        <w:rPr>
          <w:lang w:val="en-GB"/>
        </w:rPr>
        <w:t xml:space="preserve">: </w:t>
      </w:r>
      <w:r>
        <w:t>UE capability for accepting new parameters on an existing model structure, such as</w:t>
      </w:r>
      <w:r>
        <w:rPr>
          <w:rFonts w:hint="eastAsia"/>
        </w:rPr>
        <w:t xml:space="preserve"> </w:t>
      </w:r>
      <w:r>
        <w:t>quantization, updating and running the model</w:t>
      </w:r>
      <w:bookmarkEnd w:id="44"/>
      <w:bookmarkEnd w:id="45"/>
    </w:p>
    <w:p>
      <w:pPr>
        <w:pStyle w:val="35"/>
        <w:numPr>
          <w:ilvl w:val="0"/>
          <w:numId w:val="27"/>
        </w:numPr>
        <w:tabs>
          <w:tab w:val="clear" w:pos="840"/>
        </w:tabs>
        <w:spacing w:before="72" w:after="72"/>
        <w:ind w:left="820"/>
        <w:jc w:val="both"/>
        <w:rPr>
          <w:lang w:val="en-GB"/>
        </w:rPr>
      </w:pPr>
      <w:bookmarkStart w:id="46" w:name="_Toc28536"/>
      <w:bookmarkStart w:id="47" w:name="_Toc29798"/>
      <w:r>
        <w:rPr>
          <w:lang w:val="en-GB"/>
        </w:rPr>
        <w:t>Note: This may not be a requirement for a properly implemented device with the flexibility to update the parameter of a model.</w:t>
      </w:r>
      <w:bookmarkEnd w:id="46"/>
      <w:bookmarkEnd w:id="47"/>
    </w:p>
    <w:p>
      <w:pPr>
        <w:pStyle w:val="35"/>
        <w:spacing w:before="72" w:after="72"/>
        <w:ind w:left="400"/>
        <w:jc w:val="both"/>
        <w:rPr>
          <w:lang w:val="en-GB"/>
        </w:rPr>
      </w:pPr>
      <w:bookmarkStart w:id="48" w:name="_Toc22056"/>
      <w:bookmarkStart w:id="49" w:name="_Toc21304"/>
      <w:r>
        <w:rPr>
          <w:lang w:val="en-GB"/>
        </w:rPr>
        <w:t>C</w:t>
      </w:r>
      <w:r>
        <w:rPr>
          <w:rFonts w:hint="eastAsia"/>
        </w:rPr>
        <w:t>3</w:t>
      </w:r>
      <w:r>
        <w:rPr>
          <w:lang w:val="en-GB"/>
        </w:rPr>
        <w:t>: Lack of performance guarantee and testability of an updated model prior to deployment, compared to the baseline scenario of going through offline quantization, compiling, and testing of the updated model with the rest of the modem implementation.</w:t>
      </w:r>
      <w:bookmarkEnd w:id="48"/>
      <w:bookmarkEnd w:id="49"/>
    </w:p>
    <w:p>
      <w:pPr>
        <w:pStyle w:val="35"/>
        <w:numPr>
          <w:ilvl w:val="0"/>
          <w:numId w:val="27"/>
        </w:numPr>
        <w:tabs>
          <w:tab w:val="clear" w:pos="840"/>
        </w:tabs>
        <w:spacing w:before="72" w:after="72"/>
        <w:ind w:left="820"/>
        <w:jc w:val="both"/>
        <w:rPr>
          <w:lang w:val="en-GB"/>
        </w:rPr>
      </w:pPr>
      <w:bookmarkStart w:id="50" w:name="_Toc16479"/>
      <w:bookmarkStart w:id="51" w:name="_Toc25132"/>
      <w:r>
        <w:rPr>
          <w:lang w:val="en-GB"/>
        </w:rPr>
        <w:t>Note: This may not be a challenge if performance can be monitored/assessed after the model is deployed or RAN4 testing cases are properly designed. Proper implementation or alignment of quantization would also address this concern</w:t>
      </w:r>
      <w:bookmarkEnd w:id="50"/>
      <w:bookmarkEnd w:id="51"/>
      <w:r>
        <w:rPr>
          <w:lang w:val="en-GB"/>
        </w:rPr>
        <w:t xml:space="preserve"> </w:t>
      </w:r>
    </w:p>
    <w:p>
      <w:pPr>
        <w:pStyle w:val="35"/>
        <w:spacing w:before="72" w:after="72"/>
        <w:ind w:left="400"/>
        <w:jc w:val="both"/>
      </w:pPr>
      <w:bookmarkStart w:id="52" w:name="_Toc17908"/>
      <w:bookmarkStart w:id="53" w:name="_Toc10793"/>
      <w:r>
        <w:rPr>
          <w:rFonts w:hint="eastAsia"/>
        </w:rPr>
        <w:t xml:space="preserve">C4: </w:t>
      </w:r>
      <w:r>
        <w:rPr>
          <w:lang w:val="en-GB"/>
        </w:rPr>
        <w:t>Longer model update timescale and more coordination between network side and UE side/neutral site when the model training location (or offline compiling location) and model storage location are not on the same side;</w:t>
      </w:r>
      <w:bookmarkEnd w:id="52"/>
      <w:bookmarkEnd w:id="53"/>
    </w:p>
    <w:p>
      <w:pPr>
        <w:pStyle w:val="35"/>
        <w:spacing w:before="72" w:after="72"/>
        <w:ind w:left="400"/>
        <w:jc w:val="both"/>
      </w:pPr>
      <w:bookmarkStart w:id="54" w:name="_Toc18773"/>
      <w:bookmarkStart w:id="55" w:name="_Toc20602"/>
      <w:r>
        <w:rPr>
          <w:lang w:val="en-GB"/>
        </w:rPr>
        <w:t>C</w:t>
      </w:r>
      <w:r>
        <w:rPr>
          <w:rFonts w:hint="eastAsia"/>
        </w:rPr>
        <w:t>5</w:t>
      </w:r>
      <w:r>
        <w:rPr>
          <w:lang w:val="en-GB"/>
        </w:rPr>
        <w:t>: Device specific optimization of the model structure</w:t>
      </w:r>
      <w:bookmarkEnd w:id="54"/>
      <w:bookmarkEnd w:id="55"/>
    </w:p>
    <w:p>
      <w:pPr>
        <w:pStyle w:val="35"/>
        <w:spacing w:before="72" w:after="72"/>
        <w:ind w:left="400"/>
        <w:jc w:val="both"/>
      </w:pPr>
      <w:bookmarkStart w:id="56" w:name="_Toc26441"/>
      <w:bookmarkStart w:id="57" w:name="_Toc17753"/>
      <w:r>
        <w:rPr>
          <w:lang w:val="en-GB"/>
        </w:rPr>
        <w:t>C</w:t>
      </w:r>
      <w:r>
        <w:rPr>
          <w:rFonts w:hint="eastAsia"/>
        </w:rPr>
        <w:t>6</w:t>
      </w:r>
      <w:r>
        <w:rPr>
          <w:lang w:val="en-GB"/>
        </w:rPr>
        <w:t>: Device capability of converting an unknown structure into executable format</w:t>
      </w:r>
      <w:bookmarkEnd w:id="56"/>
      <w:bookmarkEnd w:id="57"/>
    </w:p>
    <w:p>
      <w:pPr>
        <w:pStyle w:val="33"/>
        <w:spacing w:before="72" w:after="72"/>
        <w:jc w:val="both"/>
        <w:rPr>
          <w:lang w:val="en-GB"/>
        </w:rPr>
      </w:pPr>
      <w:bookmarkStart w:id="58" w:name="_Toc18408"/>
      <w:bookmarkStart w:id="59" w:name="_Toc10019"/>
      <w:r>
        <w:rPr>
          <w:lang w:val="en-GB"/>
        </w:rPr>
        <w:t>Potential specification impact:</w:t>
      </w:r>
      <w:bookmarkEnd w:id="58"/>
      <w:bookmarkEnd w:id="59"/>
    </w:p>
    <w:p>
      <w:pPr>
        <w:pStyle w:val="35"/>
        <w:spacing w:before="72" w:after="72"/>
        <w:ind w:left="400"/>
        <w:jc w:val="both"/>
        <w:rPr>
          <w:lang w:val="en-GB"/>
        </w:rPr>
      </w:pPr>
      <w:bookmarkStart w:id="60" w:name="_Toc4825"/>
      <w:bookmarkStart w:id="61" w:name="_Toc9331"/>
      <w:r>
        <w:rPr>
          <w:lang w:val="en-GB"/>
        </w:rPr>
        <w:t>S0: Specification related to model transfer</w:t>
      </w:r>
      <w:bookmarkEnd w:id="60"/>
      <w:bookmarkEnd w:id="61"/>
    </w:p>
    <w:p>
      <w:pPr>
        <w:pStyle w:val="35"/>
        <w:spacing w:before="72" w:after="72"/>
        <w:ind w:left="400"/>
        <w:jc w:val="both"/>
        <w:rPr>
          <w:lang w:val="en-GB"/>
        </w:rPr>
      </w:pPr>
      <w:bookmarkStart w:id="62" w:name="_Toc22750"/>
      <w:bookmarkStart w:id="63" w:name="_Toc22231"/>
      <w:r>
        <w:rPr>
          <w:lang w:val="en-GB"/>
        </w:rPr>
        <w:t xml:space="preserve">S1: Specification of model format </w:t>
      </w:r>
      <w:r>
        <w:rPr>
          <w:rFonts w:hint="eastAsia"/>
        </w:rPr>
        <w:t xml:space="preserve">alignment </w:t>
      </w:r>
      <w:r>
        <w:rPr>
          <w:lang w:val="en-GB"/>
        </w:rPr>
        <w:t>for open-format model transfer</w:t>
      </w:r>
      <w:bookmarkEnd w:id="62"/>
      <w:bookmarkEnd w:id="63"/>
    </w:p>
    <w:p>
      <w:pPr>
        <w:pStyle w:val="35"/>
        <w:numPr>
          <w:ilvl w:val="0"/>
          <w:numId w:val="27"/>
        </w:numPr>
        <w:tabs>
          <w:tab w:val="clear" w:pos="840"/>
        </w:tabs>
        <w:spacing w:before="72" w:after="72"/>
        <w:ind w:left="820"/>
        <w:jc w:val="both"/>
        <w:rPr>
          <w:lang w:val="en-GB"/>
        </w:rPr>
      </w:pPr>
      <w:bookmarkStart w:id="64" w:name="_Toc19897"/>
      <w:bookmarkStart w:id="65" w:name="_Toc1624"/>
      <w:r>
        <w:rPr>
          <w:rFonts w:hint="eastAsia"/>
          <w:lang w:val="en-GB"/>
        </w:rPr>
        <w:t>Note: 3GPP has similar mechanisms specified in other WG.</w:t>
      </w:r>
      <w:bookmarkEnd w:id="64"/>
      <w:bookmarkEnd w:id="65"/>
    </w:p>
    <w:p>
      <w:pPr>
        <w:pStyle w:val="35"/>
        <w:spacing w:before="72" w:after="72"/>
        <w:ind w:left="400"/>
        <w:jc w:val="both"/>
        <w:rPr>
          <w:rFonts w:eastAsia="宋体"/>
          <w:kern w:val="0"/>
        </w:rPr>
      </w:pPr>
      <w:bookmarkStart w:id="66" w:name="_Toc13123"/>
      <w:bookmarkStart w:id="67" w:name="_Toc1942"/>
      <w:r>
        <w:rPr>
          <w:lang w:val="en-GB"/>
        </w:rPr>
        <w:t>S2: Flexible UE capability mechanism beyond model ID-based approach</w:t>
      </w:r>
      <w:r>
        <w:rPr>
          <w:rFonts w:hint="eastAsia"/>
        </w:rPr>
        <w:t xml:space="preserve"> for executing a model with unknown structure</w:t>
      </w:r>
      <w:bookmarkEnd w:id="66"/>
      <w:bookmarkEnd w:id="67"/>
    </w:p>
    <w:p>
      <w:pPr>
        <w:snapToGrid w:val="0"/>
        <w:spacing w:before="72" w:beforeLines="30" w:after="72" w:afterLines="30" w:line="288" w:lineRule="auto"/>
        <w:rPr>
          <w:rFonts w:eastAsia="微软雅黑"/>
        </w:rPr>
      </w:pPr>
      <w:r>
        <w:rPr>
          <w:rFonts w:hint="eastAsia" w:eastAsia="微软雅黑"/>
        </w:rPr>
        <w:t xml:space="preserve">Considering the computation and storage limitation on the UE side, the delivery/transfer of scenario/configuration specific models from NW to UE may be beneficial to boost the system performance and avoid the potential risk of </w:t>
      </w:r>
      <w:r>
        <w:t xml:space="preserve">proprietary </w:t>
      </w:r>
      <w:r>
        <w:rPr>
          <w:rFonts w:hint="eastAsia" w:eastAsia="微软雅黑"/>
        </w:rPr>
        <w:t>information disclosure issues. Regarding to the specification impacts associated with different model delivery/transfer options, model delivery via Case y has no specification impacts, which can anyway be supported through implementation. However, the model transfer (e.g., Case z1~z5) has the over-the-air signaling impacts, which may include the following aspects.</w:t>
      </w:r>
    </w:p>
    <w:p>
      <w:pPr>
        <w:numPr>
          <w:ilvl w:val="0"/>
          <w:numId w:val="28"/>
        </w:numPr>
        <w:snapToGrid w:val="0"/>
        <w:spacing w:before="72" w:beforeLines="30" w:after="72" w:afterLines="30" w:line="288" w:lineRule="auto"/>
        <w:rPr>
          <w:rFonts w:eastAsia="微软雅黑"/>
        </w:rPr>
      </w:pPr>
      <w:r>
        <w:rPr>
          <w:rFonts w:hint="eastAsia" w:eastAsia="微软雅黑"/>
        </w:rPr>
        <w:t>Container for model transfer: It</w:t>
      </w:r>
      <w:r>
        <w:rPr>
          <w:rFonts w:eastAsia="微软雅黑"/>
        </w:rPr>
        <w:t>’</w:t>
      </w:r>
      <w:r>
        <w:rPr>
          <w:rFonts w:hint="eastAsia" w:eastAsia="微软雅黑"/>
        </w:rPr>
        <w:t>s still under discussion in RAN2. RAN2 has identified some potential solutions as below. However, there is no enough progress in RAN2 as some solutions may even have specification impacts in SA.</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57"/>
              <w:widowControl/>
              <w:numPr>
                <w:ilvl w:val="0"/>
                <w:numId w:val="0"/>
              </w:numPr>
              <w:spacing w:before="72" w:beforeLines="30" w:after="72" w:afterLines="30" w:line="288" w:lineRule="auto"/>
              <w:rPr>
                <w:u w:val="single"/>
              </w:rPr>
            </w:pPr>
            <w:r>
              <w:rPr>
                <w:rFonts w:hint="eastAsia"/>
                <w:u w:val="single"/>
              </w:rPr>
              <w:t>Agreement (RAN2#121):</w:t>
            </w:r>
          </w:p>
          <w:p>
            <w:pPr>
              <w:pStyle w:val="57"/>
              <w:widowControl/>
              <w:numPr>
                <w:ilvl w:val="0"/>
                <w:numId w:val="0"/>
              </w:numPr>
              <w:spacing w:before="72" w:beforeLines="30" w:after="72" w:afterLines="30" w:line="288" w:lineRule="auto"/>
              <w:rPr>
                <w:b w:val="0"/>
                <w:bCs/>
              </w:rPr>
            </w:pPr>
            <w:r>
              <w:rPr>
                <w:b w:val="0"/>
                <w:bCs/>
              </w:rPr>
              <w:t>Aim to at least analyze the feasibility and benefits of model/transfer solutions based on the following:</w:t>
            </w:r>
          </w:p>
          <w:p>
            <w:pPr>
              <w:pStyle w:val="57"/>
              <w:widowControl/>
              <w:numPr>
                <w:ilvl w:val="0"/>
                <w:numId w:val="0"/>
              </w:numPr>
              <w:spacing w:before="72" w:beforeLines="30" w:after="72" w:afterLines="30" w:line="288" w:lineRule="auto"/>
              <w:rPr>
                <w:b w:val="0"/>
                <w:bCs/>
              </w:rPr>
            </w:pPr>
            <w:r>
              <w:rPr>
                <w:b w:val="0"/>
                <w:bCs/>
              </w:rPr>
              <w:t>Solution 1a: gNB can transfer/deliver AI/ML model(s) to UE via RRC signalling.</w:t>
            </w:r>
          </w:p>
          <w:p>
            <w:pPr>
              <w:pStyle w:val="57"/>
              <w:widowControl/>
              <w:numPr>
                <w:ilvl w:val="0"/>
                <w:numId w:val="0"/>
              </w:numPr>
              <w:spacing w:before="72" w:beforeLines="30" w:after="72" w:afterLines="30" w:line="288" w:lineRule="auto"/>
              <w:rPr>
                <w:b w:val="0"/>
                <w:bCs/>
              </w:rPr>
            </w:pPr>
            <w:r>
              <w:rPr>
                <w:b w:val="0"/>
                <w:bCs/>
              </w:rPr>
              <w:t>Solution 2a: CN (except LMF) can transfer/deliver AI/ML model(s) to UE via NAS signalling.</w:t>
            </w:r>
          </w:p>
          <w:p>
            <w:pPr>
              <w:pStyle w:val="57"/>
              <w:widowControl/>
              <w:numPr>
                <w:ilvl w:val="0"/>
                <w:numId w:val="0"/>
              </w:numPr>
              <w:spacing w:before="72" w:beforeLines="30" w:after="72" w:afterLines="30" w:line="288" w:lineRule="auto"/>
              <w:rPr>
                <w:b w:val="0"/>
                <w:bCs/>
              </w:rPr>
            </w:pPr>
            <w:r>
              <w:rPr>
                <w:b w:val="0"/>
                <w:bCs/>
              </w:rPr>
              <w:t>Solution 3a: LMF can transfer/deliver AI/ML model(s) to UE via LPP signalling.</w:t>
            </w:r>
          </w:p>
          <w:p>
            <w:pPr>
              <w:pStyle w:val="57"/>
              <w:widowControl/>
              <w:numPr>
                <w:ilvl w:val="0"/>
                <w:numId w:val="0"/>
              </w:numPr>
              <w:spacing w:before="72" w:beforeLines="30" w:after="72" w:afterLines="30" w:line="288" w:lineRule="auto"/>
              <w:rPr>
                <w:b w:val="0"/>
                <w:bCs/>
              </w:rPr>
            </w:pPr>
            <w:r>
              <w:rPr>
                <w:b w:val="0"/>
                <w:bCs/>
              </w:rPr>
              <w:t>Solution 1b: gNB can transfer/deliver AI/ML model(s) to UE via UP data.</w:t>
            </w:r>
          </w:p>
          <w:p>
            <w:pPr>
              <w:pStyle w:val="57"/>
              <w:widowControl/>
              <w:numPr>
                <w:ilvl w:val="0"/>
                <w:numId w:val="0"/>
              </w:numPr>
              <w:spacing w:before="72" w:beforeLines="30" w:after="72" w:afterLines="30" w:line="288" w:lineRule="auto"/>
              <w:rPr>
                <w:b w:val="0"/>
                <w:bCs/>
              </w:rPr>
            </w:pPr>
            <w:r>
              <w:rPr>
                <w:b w:val="0"/>
                <w:bCs/>
              </w:rPr>
              <w:t>Solution 2b: CN (except LMF) can transfer/deliver AI/ML model(s) to UE via UP data.</w:t>
            </w:r>
          </w:p>
          <w:p>
            <w:pPr>
              <w:pStyle w:val="57"/>
              <w:widowControl/>
              <w:numPr>
                <w:ilvl w:val="0"/>
                <w:numId w:val="0"/>
              </w:numPr>
              <w:spacing w:before="72" w:beforeLines="30" w:after="72" w:afterLines="30" w:line="288" w:lineRule="auto"/>
              <w:rPr>
                <w:b w:val="0"/>
                <w:bCs/>
              </w:rPr>
            </w:pPr>
            <w:r>
              <w:rPr>
                <w:b w:val="0"/>
                <w:bCs/>
              </w:rPr>
              <w:t>Solution 3b: LMF can transfer/deliver AI/ML model(s) to UE via UP data.</w:t>
            </w:r>
          </w:p>
          <w:p>
            <w:pPr>
              <w:pStyle w:val="57"/>
              <w:widowControl/>
              <w:numPr>
                <w:ilvl w:val="0"/>
                <w:numId w:val="0"/>
              </w:numPr>
              <w:spacing w:before="72" w:beforeLines="30" w:after="72" w:afterLines="30" w:line="288" w:lineRule="auto"/>
              <w:rPr>
                <w:rFonts w:eastAsia="微软雅黑"/>
                <w:b w:val="0"/>
                <w:bCs/>
              </w:rPr>
            </w:pPr>
            <w:r>
              <w:rPr>
                <w:b w:val="0"/>
                <w:bCs/>
              </w:rPr>
              <w:t>Solution 4: Server (e.g. OAM, OTT) can transfer/delivery AI/ML model(s) to UE (e.g. transparent to 3GPP).</w:t>
            </w:r>
          </w:p>
        </w:tc>
      </w:tr>
    </w:tbl>
    <w:p>
      <w:pPr>
        <w:numPr>
          <w:ilvl w:val="0"/>
          <w:numId w:val="28"/>
        </w:numPr>
        <w:snapToGrid w:val="0"/>
        <w:spacing w:before="72" w:beforeLines="30" w:after="72" w:afterLines="30" w:line="288" w:lineRule="auto"/>
        <w:rPr>
          <w:rFonts w:eastAsia="微软雅黑"/>
        </w:rPr>
      </w:pPr>
      <w:r>
        <w:rPr>
          <w:rFonts w:hint="eastAsia" w:eastAsia="微软雅黑"/>
        </w:rPr>
        <w:t>Model format alignment between UE and network: Whether 3GPP can specify the open-format model or reuse open-source model description language (e.g., ONNX) needs some further study by other working groups (e.g., SA). In addition, as commented by some companies, interoperability token defined by SA2 may be used to indicate interoperable model format and platform. The interoperability token is more likely to be vendor-specific implementations . It</w:t>
      </w:r>
      <w:r>
        <w:rPr>
          <w:rFonts w:eastAsia="微软雅黑"/>
        </w:rPr>
        <w:t>’</w:t>
      </w:r>
      <w:r>
        <w:rPr>
          <w:rFonts w:hint="eastAsia" w:eastAsia="微软雅黑"/>
        </w:rPr>
        <w:t>s still unclear whether the interoperability token has specification impacts in RAN.</w:t>
      </w:r>
    </w:p>
    <w:p>
      <w:pPr>
        <w:numPr>
          <w:ilvl w:val="0"/>
          <w:numId w:val="28"/>
        </w:numPr>
        <w:snapToGrid w:val="0"/>
        <w:spacing w:before="72" w:beforeLines="30" w:after="72" w:afterLines="30" w:line="288" w:lineRule="auto"/>
        <w:rPr>
          <w:rFonts w:eastAsia="微软雅黑"/>
        </w:rPr>
      </w:pPr>
      <w:r>
        <w:rPr>
          <w:rFonts w:hint="eastAsia" w:eastAsia="微软雅黑"/>
        </w:rPr>
        <w:t>Model identification process: The model identification process should be further studied by RAN2/SA2/SA5 (e.g., how to register/de-register the model and how to conduct certification test on the model).</w:t>
      </w:r>
    </w:p>
    <w:p>
      <w:pPr>
        <w:snapToGrid w:val="0"/>
        <w:spacing w:before="72" w:beforeLines="30" w:after="72" w:afterLines="30" w:line="288" w:lineRule="auto"/>
        <w:rPr>
          <w:rFonts w:eastAsia="微软雅黑"/>
          <w:kern w:val="0"/>
        </w:rPr>
      </w:pPr>
      <w:r>
        <w:rPr>
          <w:rFonts w:hint="eastAsia" w:eastAsia="微软雅黑"/>
          <w:kern w:val="0"/>
        </w:rPr>
        <w:t>Moreover, SA2 is planned to study AI/ML cross-domain coordination aspects between SA2 and RAN in Rel-19 [3]. Therefore, RAN1 can conclude the benefits, challenges, and potential specification impacts for the model transfer and model identification. However, RAN1 cannot make decision on the feasibility and necessity to support the model transfer and model identification. The feasibility and necessity of supporting model transfer and model identification should be further assessed by RAN2/SA2 before going for normative work in RAN.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65"/>
              <w:widowControl w:val="0"/>
              <w:spacing w:before="120" w:after="120"/>
              <w:rPr>
                <w:rFonts w:ascii="Times New Roman" w:hAnsi="Times New Roman"/>
              </w:rPr>
            </w:pPr>
            <w:r>
              <w:rPr>
                <w:rFonts w:ascii="Times New Roman" w:hAnsi="Times New Roman"/>
                <w:lang w:eastAsia="en-GB"/>
              </w:rPr>
              <w:t xml:space="preserve">WT#1: </w:t>
            </w:r>
            <w:r>
              <w:rPr>
                <w:rFonts w:ascii="Times New Roman" w:hAnsi="Times New Roman"/>
              </w:rPr>
              <w:t>AI/ML cross-domain coordination aspects</w:t>
            </w:r>
          </w:p>
          <w:p>
            <w:pPr>
              <w:pStyle w:val="65"/>
              <w:widowControl w:val="0"/>
              <w:numPr>
                <w:ilvl w:val="0"/>
                <w:numId w:val="29"/>
              </w:numPr>
              <w:spacing w:before="120" w:after="120"/>
              <w:ind w:left="1080"/>
              <w:rPr>
                <w:rFonts w:ascii="Times New Roman" w:hAnsi="Times New Roman"/>
              </w:rPr>
            </w:pPr>
            <w:r>
              <w:rPr>
                <w:rFonts w:ascii="Times New Roman" w:hAnsi="Times New Roman"/>
              </w:rPr>
              <w:t xml:space="preserve">Study enhancements to support AI enabled RAN based on conclusions of the RAN study. The WT will discuss whether and how to support the cross domain (i.e. UE, RAN, 5GC, OAM and AF) collaborative AI/ML mechanisms to support the UE, the RAN, the 5GC and the AF for the aspects described by the work tasks below. The WT will also discuss interaction/coordination with RAN to support the AI enabled RAN framework:  </w:t>
            </w:r>
          </w:p>
          <w:p>
            <w:pPr>
              <w:pStyle w:val="65"/>
              <w:widowControl w:val="0"/>
              <w:spacing w:before="120" w:after="120"/>
              <w:ind w:left="1080"/>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WT1.1 – Study enhancements to UE data collection framework. Study whether and how to enhance UE data collection framework to meet requirements for RAN AI support for air interface operation (for RAN). This includes identifying what benefit can be achieved from enhanced UE data collection for 5GC, and the potential impacts on the 5G framework, including potential enhancements to policy control. Regarding the radio related data collected from UE or RAN, e.g, channel status information and beam information, the WT will also discuss the data leakage from the operator's domain which should be avoided.</w:t>
            </w:r>
          </w:p>
          <w:p>
            <w:pPr>
              <w:pStyle w:val="65"/>
              <w:widowControl w:val="0"/>
              <w:spacing w:before="120" w:after="120"/>
              <w:ind w:left="1080"/>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 xml:space="preserve">WT1.2 – Study 5GC support for AI/ML model and information sharing with the UE. </w:t>
            </w:r>
            <w:r>
              <w:rPr>
                <w:rFonts w:ascii="Times New Roman" w:hAnsi="Times New Roman"/>
                <w:b/>
                <w:bCs/>
                <w:u w:val="single"/>
              </w:rPr>
              <w:t>Study whether (and how) to support model transfer/delivery to the UE according to RAN1/RAN2 considerations</w:t>
            </w:r>
            <w:r>
              <w:rPr>
                <w:rFonts w:ascii="Times New Roman" w:hAnsi="Times New Roman"/>
              </w:rPr>
              <w:t>, including potential enhancements to policy control. Whether and what entities or functions transfer the AI/ML model or information to the UE will be studied as part of the work.</w:t>
            </w:r>
            <w:r>
              <w:t xml:space="preserve"> </w:t>
            </w:r>
            <w:r>
              <w:rPr>
                <w:rFonts w:ascii="Times New Roman" w:hAnsi="Times New Roman"/>
              </w:rPr>
              <w:t>This WT will also discuss the data leakage from the operator's domain which should be avoided.</w:t>
            </w:r>
          </w:p>
          <w:p>
            <w:pPr>
              <w:pStyle w:val="65"/>
              <w:widowControl w:val="0"/>
              <w:spacing w:before="120" w:after="120"/>
              <w:ind w:left="1080"/>
              <w:rPr>
                <w:rFonts w:ascii="Times New Roman" w:hAnsi="Times New Roman"/>
              </w:rPr>
            </w:pPr>
            <w:r>
              <w:rPr>
                <w:rFonts w:ascii="Times New Roman" w:hAnsi="Times New Roman"/>
                <w:b/>
                <w:bCs/>
              </w:rPr>
              <w:t>-</w:t>
            </w:r>
            <w:r>
              <w:rPr>
                <w:rFonts w:ascii="Times New Roman" w:hAnsi="Times New Roman"/>
                <w:b/>
                <w:bCs/>
              </w:rPr>
              <w:tab/>
            </w:r>
            <w:r>
              <w:rPr>
                <w:rFonts w:ascii="Times New Roman" w:hAnsi="Times New Roman"/>
              </w:rPr>
              <w:t>WT1.3:</w:t>
            </w:r>
            <w:r>
              <w:rPr>
                <w:rFonts w:ascii="Times New Roman" w:hAnsi="Times New Roman"/>
                <w:b/>
                <w:bCs/>
                <w:u w:val="single"/>
              </w:rPr>
              <w:t xml:space="preserve"> Study whether and how to support the alignment of model identification and model management between SA2 and RAN.</w:t>
            </w:r>
            <w:r>
              <w:rPr>
                <w:rFonts w:ascii="Times New Roman" w:hAnsi="Times New Roman"/>
              </w:rPr>
              <w:t xml:space="preserve"> Work will be based on the possible requirements defined by RAN1 and RAN2. </w:t>
            </w:r>
          </w:p>
          <w:p>
            <w:pPr>
              <w:pStyle w:val="65"/>
              <w:widowControl w:val="0"/>
              <w:numPr>
                <w:ilvl w:val="0"/>
                <w:numId w:val="29"/>
              </w:numPr>
              <w:spacing w:before="120" w:after="120"/>
              <w:ind w:left="1080"/>
              <w:rPr>
                <w:rFonts w:ascii="Times New Roman" w:hAnsi="Times New Roman"/>
              </w:rPr>
            </w:pPr>
            <w:r>
              <w:rPr>
                <w:rFonts w:ascii="Times New Roman" w:hAnsi="Times New Roman"/>
              </w:rPr>
              <w:t xml:space="preserve">WT1.4: Study whether and how to support interaction/coordination with RAN3 to support the AI enabled NG-RAN framework (i.e. AI/ML for NG-RAN in Rel-18). Work will be based on possible requirements from RAN3. </w:t>
            </w:r>
          </w:p>
          <w:p>
            <w:pPr>
              <w:pStyle w:val="65"/>
              <w:widowControl w:val="0"/>
              <w:numPr>
                <w:ilvl w:val="0"/>
                <w:numId w:val="29"/>
              </w:numPr>
              <w:spacing w:before="120" w:after="120"/>
              <w:ind w:left="1080"/>
              <w:rPr>
                <w:rFonts w:ascii="Times New Roman" w:hAnsi="Times New Roman"/>
              </w:rPr>
            </w:pPr>
            <w:r>
              <w:rPr>
                <w:rFonts w:ascii="Times New Roman" w:hAnsi="Times New Roman"/>
              </w:rPr>
              <w:t>WT1.5: Study whether and how to consider enhancements to LCS to support AI/ML based Positioning.</w:t>
            </w:r>
          </w:p>
          <w:p>
            <w:pPr>
              <w:pStyle w:val="65"/>
              <w:widowControl w:val="0"/>
              <w:spacing w:before="120" w:after="120"/>
              <w:ind w:left="644" w:firstLine="0"/>
              <w:rPr>
                <w:rFonts w:ascii="Times New Roman" w:hAnsi="Times New Roman"/>
                <w:lang w:eastAsia="en-GB"/>
              </w:rPr>
            </w:pPr>
            <w:r>
              <w:rPr>
                <w:rFonts w:ascii="Times New Roman" w:hAnsi="Times New Roman"/>
              </w:rPr>
              <w:t>NOTE A: The work will not modify the architectural principle that a service-based architecture only applies for 5GC.</w:t>
            </w:r>
          </w:p>
          <w:p>
            <w:pPr>
              <w:pStyle w:val="65"/>
              <w:widowControl w:val="0"/>
              <w:spacing w:before="120" w:after="120"/>
              <w:ind w:left="644" w:firstLine="0"/>
              <w:rPr>
                <w:rFonts w:ascii="Times New Roman" w:hAnsi="Times New Roman"/>
              </w:rPr>
            </w:pPr>
            <w:r>
              <w:rPr>
                <w:rFonts w:ascii="Times New Roman" w:hAnsi="Times New Roman"/>
              </w:rPr>
              <w:t xml:space="preserve">NOTE B: Whether SA2 will study WT1 and the content of WT1 will depend on and follow RAN study and conclusions. WT1 and associated TUs will be revised to align to RAN study conclusions, when RAN reaches such conclusions. </w:t>
            </w:r>
          </w:p>
          <w:p>
            <w:pPr>
              <w:pStyle w:val="65"/>
              <w:widowControl w:val="0"/>
              <w:spacing w:before="120" w:after="120"/>
              <w:ind w:left="644" w:firstLine="0"/>
              <w:rPr>
                <w:rFonts w:ascii="Times New Roman" w:hAnsi="Times New Roman"/>
              </w:rPr>
            </w:pPr>
            <w:r>
              <w:rPr>
                <w:rFonts w:ascii="Times New Roman" w:hAnsi="Times New Roman"/>
              </w:rPr>
              <w:t>NOTE C: Further alignment with SA5 for the AI/ML Functional framework may be required.</w:t>
            </w:r>
          </w:p>
          <w:p>
            <w:pPr>
              <w:pStyle w:val="65"/>
              <w:widowControl w:val="0"/>
              <w:spacing w:before="120" w:after="120"/>
              <w:ind w:left="644" w:firstLine="0"/>
              <w:rPr>
                <w:rFonts w:ascii="Times New Roman" w:hAnsi="Times New Roman"/>
              </w:rPr>
            </w:pPr>
            <w:r>
              <w:rPr>
                <w:rFonts w:ascii="Times New Roman" w:hAnsi="Times New Roman"/>
              </w:rPr>
              <w:t>NOTE D: security aspects are in the scope of SA3, however architectural aspects related to security enhancements will be discussed in this WT.</w:t>
            </w:r>
          </w:p>
          <w:p>
            <w:pPr>
              <w:pStyle w:val="65"/>
              <w:widowControl w:val="0"/>
              <w:spacing w:before="120" w:after="120"/>
              <w:ind w:left="644" w:firstLine="0"/>
              <w:rPr>
                <w:rFonts w:eastAsia="微软雅黑"/>
                <w:kern w:val="0"/>
              </w:rPr>
            </w:pPr>
            <w:r>
              <w:rPr>
                <w:rFonts w:ascii="Times New Roman" w:hAnsi="Times New Roman"/>
              </w:rPr>
              <w:t>NOTE E: The model management will follow the framework as defined by RAN.</w:t>
            </w:r>
          </w:p>
        </w:tc>
      </w:tr>
    </w:tbl>
    <w:p>
      <w:pPr>
        <w:pStyle w:val="30"/>
        <w:spacing w:before="72" w:after="72"/>
        <w:jc w:val="both"/>
        <w:rPr>
          <w:lang w:val="en-US"/>
        </w:rPr>
      </w:pPr>
      <w:bookmarkStart w:id="68" w:name="_Toc1793"/>
      <w:r>
        <w:rPr>
          <w:rFonts w:hint="eastAsia"/>
          <w:lang w:val="en-US"/>
        </w:rPr>
        <w:t>During the study item in Rel-18, RAN1 can conclude the benefits, challenges, and potential specification impacts for the model transfer and model identification. However, RAN1 cannot make decision on the feasibility and necessity to support the model transfer and model identification.</w:t>
      </w:r>
      <w:bookmarkEnd w:id="68"/>
      <w:r>
        <w:rPr>
          <w:rFonts w:hint="eastAsia"/>
          <w:lang w:val="en-US"/>
        </w:rPr>
        <w:t xml:space="preserve"> </w:t>
      </w:r>
    </w:p>
    <w:p>
      <w:pPr>
        <w:pStyle w:val="30"/>
        <w:spacing w:before="72" w:after="72"/>
        <w:jc w:val="both"/>
        <w:rPr>
          <w:lang w:val="en-US"/>
        </w:rPr>
      </w:pPr>
      <w:bookmarkStart w:id="69" w:name="_Toc19622"/>
      <w:r>
        <w:rPr>
          <w:rFonts w:hint="eastAsia"/>
          <w:lang w:val="en-US"/>
        </w:rPr>
        <w:t>The feasibility and necessity of supporting model transfer and model identification should be further assessed by RAN2/SA2 before going for normative work in RAN.</w:t>
      </w:r>
      <w:bookmarkEnd w:id="69"/>
    </w:p>
    <w:p>
      <w:pPr>
        <w:pStyle w:val="30"/>
        <w:numPr>
          <w:ilvl w:val="0"/>
          <w:numId w:val="0"/>
        </w:numPr>
        <w:spacing w:before="72" w:after="72"/>
        <w:rPr>
          <w:lang w:val="en-US"/>
        </w:rPr>
      </w:pPr>
    </w:p>
    <w:p>
      <w:pPr>
        <w:pStyle w:val="2"/>
        <w:spacing w:before="72" w:beforeLines="30" w:after="72" w:afterLines="30" w:line="288" w:lineRule="auto"/>
        <w:rPr>
          <w:rFonts w:eastAsia="宋体"/>
        </w:rPr>
      </w:pPr>
      <w:r>
        <w:rPr>
          <w:rFonts w:hint="eastAsia" w:eastAsia="宋体"/>
        </w:rPr>
        <w:t>Conclusion</w:t>
      </w:r>
    </w:p>
    <w:p>
      <w:pPr>
        <w:snapToGrid w:val="0"/>
        <w:spacing w:before="72" w:beforeLines="30" w:after="72" w:afterLines="30" w:line="288" w:lineRule="auto"/>
        <w:rPr>
          <w:rFonts w:eastAsia="微软雅黑"/>
        </w:rPr>
      </w:pPr>
      <w:r>
        <w:rPr>
          <w:rFonts w:eastAsia="微软雅黑"/>
        </w:rPr>
        <w:t>In this contribution, we provide our further views on the identified issues for general aspects of common AI/ML framework. We have the following observations and proposals:</w:t>
      </w:r>
    </w:p>
    <w:p>
      <w:pPr>
        <w:keepNext w:val="0"/>
        <w:keepLines w:val="0"/>
        <w:pageBreakBefore w:val="0"/>
        <w:widowControl/>
        <w:kinsoku/>
        <w:wordWrap/>
        <w:overflowPunct/>
        <w:topLinePunct w:val="0"/>
        <w:autoSpaceDE/>
        <w:autoSpaceDN/>
        <w:bidi w:val="0"/>
        <w:snapToGrid w:val="0"/>
        <w:spacing w:before="72" w:beforeLines="30" w:after="72" w:afterLines="30" w:line="288" w:lineRule="auto"/>
        <w:rPr>
          <w:rFonts w:hint="default" w:eastAsia="微软雅黑"/>
          <w:b/>
          <w:bCs/>
          <w:i/>
          <w:iCs/>
          <w:u w:val="single"/>
          <w:lang w:val="en-US" w:eastAsia="zh-CN"/>
        </w:rPr>
      </w:pPr>
      <w:r>
        <w:rPr>
          <w:rFonts w:hint="eastAsia" w:eastAsia="微软雅黑"/>
          <w:b/>
          <w:bCs/>
          <w:i/>
          <w:iCs/>
          <w:u w:val="single"/>
          <w:lang w:val="en-US" w:eastAsia="zh-CN"/>
        </w:rPr>
        <w:t>Observations:</w:t>
      </w:r>
    </w:p>
    <w:p>
      <w:pPr>
        <w:pStyle w:val="32"/>
        <w:keepNext w:val="0"/>
        <w:keepLines w:val="0"/>
        <w:pageBreakBefore w:val="0"/>
        <w:widowControl/>
        <w:numPr>
          <w:ilvl w:val="0"/>
          <w:numId w:val="30"/>
        </w:numPr>
        <w:kinsoku/>
        <w:wordWrap/>
        <w:overflowPunct/>
        <w:topLinePunct w:val="0"/>
        <w:autoSpaceDE/>
        <w:autoSpaceDN/>
        <w:bidi w:val="0"/>
        <w:adjustRightInd w:val="0"/>
        <w:snapToGrid w:val="0"/>
        <w:spacing w:before="72" w:after="72"/>
        <w:ind w:left="0" w:firstLine="0"/>
        <w:jc w:val="both"/>
        <w:textAlignment w:val="center"/>
        <w:rPr>
          <w:rFonts w:hint="eastAsia"/>
          <w:lang w:val="en-US" w:eastAsia="zh-CN"/>
        </w:rPr>
      </w:pPr>
      <w:r>
        <w:rPr>
          <w:rFonts w:hint="eastAsia"/>
          <w:lang w:val="en-US" w:eastAsia="zh-CN"/>
        </w:rPr>
        <w:t xml:space="preserve">If functionality identification follows the same mechanism as the non-AI/ML feature/FG, it allows the network to configure all combinations of the candidate values indicated in the conditions. The consequence is that the UE has to deploy a model with good generalization to support all combinations of the candidate values indicated in the conditions or a large number of models applied for different combinations. </w:t>
      </w:r>
    </w:p>
    <w:p>
      <w:pPr>
        <w:pStyle w:val="32"/>
        <w:keepNext w:val="0"/>
        <w:keepLines w:val="0"/>
        <w:pageBreakBefore w:val="0"/>
        <w:widowControl/>
        <w:numPr>
          <w:ilvl w:val="0"/>
          <w:numId w:val="30"/>
        </w:numPr>
        <w:kinsoku/>
        <w:wordWrap/>
        <w:overflowPunct/>
        <w:topLinePunct w:val="0"/>
        <w:autoSpaceDE/>
        <w:autoSpaceDN/>
        <w:bidi w:val="0"/>
        <w:adjustRightInd w:val="0"/>
        <w:snapToGrid w:val="0"/>
        <w:spacing w:before="72" w:after="72"/>
        <w:ind w:left="0" w:firstLine="0"/>
        <w:jc w:val="both"/>
        <w:textAlignment w:val="center"/>
      </w:pPr>
      <w:r>
        <w:rPr>
          <w:rFonts w:hint="eastAsia"/>
          <w:lang w:val="en-US" w:eastAsia="zh-CN"/>
        </w:rPr>
        <w:t>When the functionality and the corresponding values of conditions</w:t>
      </w:r>
      <w:r>
        <w:rPr>
          <w:rFonts w:hint="eastAsia" w:eastAsia="微软雅黑"/>
        </w:rPr>
        <w:t>/components</w:t>
      </w:r>
      <w:r>
        <w:rPr>
          <w:rFonts w:hint="eastAsia"/>
          <w:lang w:val="en-US" w:eastAsia="zh-CN"/>
        </w:rPr>
        <w:t xml:space="preserve"> are reported by </w:t>
      </w:r>
      <w:r>
        <w:rPr>
          <w:rFonts w:hint="eastAsia" w:eastAsia="微软雅黑"/>
          <w:lang w:val="en-US" w:eastAsia="zh-CN"/>
        </w:rPr>
        <w:t xml:space="preserve">the </w:t>
      </w:r>
      <w:r>
        <w:rPr>
          <w:rFonts w:hint="eastAsia"/>
          <w:lang w:val="en-US" w:eastAsia="zh-CN"/>
        </w:rPr>
        <w:t xml:space="preserve">UE capability, there is no need for </w:t>
      </w:r>
      <w:r>
        <w:rPr>
          <w:rFonts w:hint="eastAsia" w:eastAsia="微软雅黑"/>
          <w:lang w:val="en-US" w:eastAsia="zh-CN"/>
        </w:rPr>
        <w:t xml:space="preserve">the </w:t>
      </w:r>
      <w:r>
        <w:rPr>
          <w:rFonts w:hint="eastAsia"/>
          <w:lang w:val="en-US" w:eastAsia="zh-CN"/>
        </w:rPr>
        <w:t>UE to support all combinations of candidate values indicated in the conditions/components as legacy. It allows UE to have more flexibility to train configuration/scenario-specific AI/ML models for different functionalities.</w:t>
      </w:r>
    </w:p>
    <w:p>
      <w:pPr>
        <w:pStyle w:val="32"/>
        <w:keepNext w:val="0"/>
        <w:keepLines w:val="0"/>
        <w:pageBreakBefore w:val="0"/>
        <w:widowControl/>
        <w:numPr>
          <w:ilvl w:val="0"/>
          <w:numId w:val="30"/>
        </w:numPr>
        <w:kinsoku/>
        <w:wordWrap/>
        <w:overflowPunct/>
        <w:topLinePunct w:val="0"/>
        <w:autoSpaceDE/>
        <w:autoSpaceDN/>
        <w:bidi w:val="0"/>
        <w:adjustRightInd w:val="0"/>
        <w:snapToGrid w:val="0"/>
        <w:spacing w:before="72" w:after="72"/>
        <w:ind w:left="0" w:firstLine="0"/>
        <w:jc w:val="both"/>
        <w:textAlignment w:val="center"/>
        <w:rPr>
          <w:lang w:val="en-US" w:eastAsia="zh-CN"/>
        </w:rPr>
      </w:pPr>
      <w:r>
        <w:rPr>
          <w:rFonts w:hint="eastAsia"/>
          <w:lang w:val="en-US" w:eastAsia="zh-CN"/>
        </w:rPr>
        <w:t>The legacy UE capability report is limited to AI/ML models trained and deployed by the UE side. It</w:t>
      </w:r>
      <w:r>
        <w:rPr>
          <w:lang w:val="en-US" w:eastAsia="zh-CN"/>
        </w:rPr>
        <w:t>’</w:t>
      </w:r>
      <w:r>
        <w:rPr>
          <w:rFonts w:hint="eastAsia"/>
          <w:lang w:val="en-US" w:eastAsia="zh-CN"/>
        </w:rPr>
        <w:t>s hard to support model transfer</w:t>
      </w:r>
      <w:r>
        <w:t xml:space="preserve"> </w:t>
      </w:r>
      <w:r>
        <w:rPr>
          <w:lang w:val="en-US" w:eastAsia="zh-CN"/>
        </w:rPr>
        <w:t>associated with different functionalities indicated in the UE capability.</w:t>
      </w:r>
    </w:p>
    <w:p>
      <w:pPr>
        <w:snapToGrid w:val="0"/>
        <w:spacing w:before="72" w:beforeLines="30" w:after="72" w:afterLines="30" w:line="288" w:lineRule="auto"/>
        <w:rPr>
          <w:rFonts w:eastAsia="微软雅黑"/>
        </w:rPr>
      </w:pPr>
    </w:p>
    <w:p>
      <w:pPr>
        <w:snapToGrid w:val="0"/>
        <w:spacing w:before="72" w:beforeLines="30" w:after="72" w:afterLines="30" w:line="288" w:lineRule="auto"/>
        <w:rPr>
          <w:rFonts w:hint="default" w:eastAsia="微软雅黑"/>
          <w:b/>
          <w:bCs/>
          <w:i/>
          <w:iCs/>
          <w:u w:val="single"/>
          <w:lang w:val="en-US" w:eastAsia="zh-CN"/>
        </w:rPr>
      </w:pPr>
      <w:r>
        <w:rPr>
          <w:rFonts w:hint="eastAsia" w:eastAsia="微软雅黑"/>
          <w:b/>
          <w:bCs/>
          <w:i/>
          <w:iCs/>
          <w:u w:val="single"/>
          <w:lang w:val="en-US" w:eastAsia="zh-CN"/>
        </w:rPr>
        <w:t>Proposals:</w:t>
      </w:r>
    </w:p>
    <w:p>
      <w:pPr>
        <w:pStyle w:val="30"/>
        <w:keepNext w:val="0"/>
        <w:keepLines w:val="0"/>
        <w:pageBreakBefore w:val="0"/>
        <w:widowControl/>
        <w:numPr>
          <w:ilvl w:val="0"/>
          <w:numId w:val="31"/>
        </w:numPr>
        <w:kinsoku/>
        <w:wordWrap/>
        <w:overflowPunct/>
        <w:topLinePunct w:val="0"/>
        <w:autoSpaceDE/>
        <w:autoSpaceDN/>
        <w:bidi w:val="0"/>
        <w:adjustRightInd/>
        <w:snapToGrid w:val="0"/>
        <w:spacing w:before="72" w:after="72"/>
        <w:ind w:left="0" w:firstLine="0"/>
        <w:jc w:val="both"/>
        <w:textAlignment w:val="auto"/>
      </w:pPr>
      <w:r>
        <w:rPr>
          <w:rFonts w:hint="eastAsia"/>
          <w:lang w:val="en-US"/>
        </w:rPr>
        <w:t>Conclude the different options for the alignment of NW-side additional conditions (if identified) based on the following tables: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5"/>
        <w:gridCol w:w="2821"/>
        <w:gridCol w:w="2955"/>
        <w:gridCol w:w="2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lang w:val="en-GB" w:eastAsia="ko-KR"/>
              </w:rPr>
              <w:t>Approach</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lang w:val="en-GB" w:eastAsia="ko-KR"/>
              </w:rPr>
              <w:t>How NW-side additional conditions are addressed/incorporated for training</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lang w:val="en-GB" w:eastAsia="ko-KR"/>
              </w:rPr>
              <w:t xml:space="preserve">What is done for inference to ensure </w:t>
            </w:r>
            <w:r>
              <w:rPr>
                <w:lang w:eastAsia="ko-KR"/>
              </w:rPr>
              <w:t>consistency between training and inference regarding NW-side additional conditions</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rFonts w:eastAsia="宋体"/>
              </w:rPr>
            </w:pPr>
            <w:r>
              <w:rPr>
                <w:rFonts w:hint="eastAsia" w:eastAsia="宋体"/>
              </w:rPr>
              <w:t>Potential challenges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lang w:val="en-GB" w:eastAsia="ko-KR"/>
              </w:rPr>
              <w:t>Model identification Type A</w:t>
            </w:r>
            <w:r>
              <w:rPr>
                <w:rFonts w:hint="eastAsia" w:eastAsia="微软雅黑"/>
              </w:rPr>
              <w:t>, B1-1, and B1-3</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lang w:val="en-GB" w:eastAsia="ko-KR"/>
              </w:rPr>
              <w:t>Aligned offline</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lang w:val="en-GB" w:eastAsia="ko-KR"/>
              </w:rPr>
              <w:t>Indicated via a model ID</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rFonts w:hint="eastAsia" w:eastAsia="宋体"/>
              </w:rPr>
              <w:t>O</w:t>
            </w:r>
            <w:r>
              <w:rPr>
                <w:rFonts w:hint="eastAsia" w:ascii="Times New Roman" w:eastAsia="Times New Roman"/>
                <w:lang w:val="en-GB" w:eastAsia="ko-KR"/>
              </w:rPr>
              <w:t>ffline co-engineering effort, model management complexity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eastAsia="ko-KR"/>
              </w:rPr>
            </w:pPr>
            <w:r>
              <w:rPr>
                <w:lang w:val="en-GB" w:eastAsia="ko-KR"/>
              </w:rPr>
              <w:t xml:space="preserve">Model identification Type </w:t>
            </w:r>
            <w:r>
              <w:rPr>
                <w:rFonts w:hint="eastAsia" w:eastAsia="微软雅黑"/>
              </w:rPr>
              <w:t>B1-4</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rFonts w:eastAsia="宋体"/>
              </w:rPr>
            </w:pPr>
            <w:r>
              <w:rPr>
                <w:rFonts w:eastAsia="Calibri"/>
                <w:lang w:eastAsia="en-US"/>
              </w:rPr>
              <w:t>Aligned by time duration and regions</w:t>
            </w:r>
            <w:r>
              <w:rPr>
                <w:rFonts w:hint="eastAsia" w:eastAsia="宋体"/>
              </w:rPr>
              <w:t xml:space="preserve"> </w:t>
            </w:r>
            <w:r>
              <w:rPr>
                <w:rFonts w:eastAsia="宋体"/>
                <w:lang w:eastAsia="en-US"/>
              </w:rPr>
              <w:t>(e.g., cells/PCIs/TRPs/tracking areas)</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lang w:val="en-GB" w:eastAsia="ko-KR"/>
              </w:rPr>
              <w:t>Indicated via a model ID</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rFonts w:hint="eastAsia" w:eastAsia="宋体"/>
              </w:rPr>
              <w:t>M</w:t>
            </w:r>
            <w:r>
              <w:rPr>
                <w:rFonts w:hint="eastAsia" w:ascii="Times New Roman" w:eastAsia="Times New Roman"/>
                <w:lang w:val="en-GB" w:eastAsia="ko-KR"/>
              </w:rPr>
              <w:t>odel management complexity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lang w:val="en-GB" w:eastAsia="ko-KR"/>
              </w:rPr>
              <w:t xml:space="preserve">Model identification Type </w:t>
            </w:r>
            <w:r>
              <w:rPr>
                <w:rFonts w:hint="eastAsia" w:eastAsia="微软雅黑"/>
              </w:rPr>
              <w:t>B2-2</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rFonts w:eastAsia="宋体"/>
              </w:rPr>
            </w:pPr>
            <w:r>
              <w:rPr>
                <w:rFonts w:hint="eastAsia" w:eastAsia="宋体"/>
              </w:rPr>
              <w:t>NW-indicated data collection information for Type B2-2</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lang w:val="en-GB" w:eastAsia="ko-KR"/>
              </w:rPr>
              <w:t>Indicated via a model/dataset ID</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rFonts w:eastAsia="宋体"/>
              </w:rPr>
            </w:pPr>
            <w:r>
              <w:rPr>
                <w:rFonts w:hint="eastAsia" w:eastAsia="宋体"/>
              </w:rPr>
              <w:t>M</w:t>
            </w:r>
            <w:r>
              <w:rPr>
                <w:rFonts w:hint="eastAsia" w:ascii="Times New Roman" w:eastAsia="Times New Roman"/>
                <w:lang w:val="en-GB" w:eastAsia="ko-KR"/>
              </w:rPr>
              <w:t>odel management complexity</w:t>
            </w:r>
            <w:r>
              <w:rPr>
                <w:rFonts w:hint="eastAsia" w:eastAsia="宋体"/>
              </w:rPr>
              <w:t>, overhead for dataset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lang w:val="en-GB" w:eastAsia="ko-KR"/>
              </w:rPr>
              <w:t xml:space="preserve">Model identification Type </w:t>
            </w:r>
            <w:r>
              <w:rPr>
                <w:rFonts w:hint="eastAsia" w:eastAsia="微软雅黑"/>
              </w:rPr>
              <w:t>B1-2</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rFonts w:eastAsia="Calibri"/>
                <w:color w:val="984807" w:themeColor="accent6" w:themeShade="80"/>
                <w:lang w:eastAsia="en-US"/>
              </w:rPr>
            </w:pPr>
            <w:r>
              <w:rPr>
                <w:lang w:val="en-GB" w:eastAsia="ko-KR"/>
              </w:rPr>
              <w:t xml:space="preserve">Provided to UE for dataset categorization via assistance information (e.g., in the form of </w:t>
            </w:r>
            <w:r>
              <w:rPr>
                <w:rFonts w:hint="eastAsia" w:eastAsia="宋体"/>
              </w:rPr>
              <w:t>ID</w:t>
            </w:r>
            <w:r>
              <w:rPr>
                <w:rFonts w:eastAsia="宋体"/>
              </w:rPr>
              <w:t>)</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lang w:val="en-GB" w:eastAsia="ko-KR"/>
              </w:rPr>
              <w:t>Indicated via a model ID</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rFonts w:hint="eastAsia" w:eastAsia="宋体"/>
              </w:rPr>
              <w:t>F</w:t>
            </w:r>
            <w:r>
              <w:rPr>
                <w:rFonts w:hint="eastAsia" w:ascii="Times New Roman" w:eastAsia="Times New Roman"/>
                <w:lang w:val="en-GB" w:eastAsia="ko-KR"/>
              </w:rPr>
              <w:t xml:space="preserve">easibility issues </w:t>
            </w:r>
            <w:r>
              <w:rPr>
                <w:rFonts w:hint="eastAsia" w:eastAsia="宋体"/>
              </w:rPr>
              <w:t xml:space="preserve">and standardization efforts </w:t>
            </w:r>
            <w:r>
              <w:rPr>
                <w:rFonts w:hint="eastAsia" w:ascii="Times New Roman" w:eastAsia="Times New Roman"/>
                <w:lang w:val="en-GB" w:eastAsia="ko-KR"/>
              </w:rPr>
              <w:t>for dataset categorization in the form of ID, model management complexity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rFonts w:eastAsia="宋体"/>
              </w:rPr>
            </w:pPr>
            <w:r>
              <w:rPr>
                <w:lang w:val="en-GB" w:eastAsia="ko-KR"/>
              </w:rPr>
              <w:t>Model transfer</w:t>
            </w:r>
            <w:r>
              <w:rPr>
                <w:rFonts w:hint="eastAsia" w:eastAsia="宋体"/>
              </w:rPr>
              <w:t xml:space="preserve"> in model identification Type B2-1</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rFonts w:eastAsia="宋体"/>
              </w:rPr>
            </w:pPr>
            <w:r>
              <w:rPr>
                <w:lang w:val="en-GB" w:eastAsia="ko-KR"/>
              </w:rPr>
              <w:t>Model is trained under the additional condition</w:t>
            </w:r>
            <w:r>
              <w:rPr>
                <w:rFonts w:hint="eastAsia" w:eastAsia="宋体"/>
              </w:rPr>
              <w:t>s</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lang w:val="en-GB" w:eastAsia="ko-KR"/>
              </w:rPr>
              <w:t>Model is transferred to UE to be used for inference</w:t>
            </w:r>
          </w:p>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lang w:val="en-GB" w:eastAsia="ko-KR"/>
              </w:rPr>
              <w:t>Indicated via a model ID</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rFonts w:hint="eastAsia" w:eastAsia="宋体"/>
              </w:rPr>
              <w:t>F</w:t>
            </w:r>
            <w:r>
              <w:rPr>
                <w:rFonts w:hint="eastAsia" w:ascii="Times New Roman" w:eastAsia="Times New Roman"/>
                <w:lang w:val="en-GB" w:eastAsia="ko-KR"/>
              </w:rPr>
              <w:t xml:space="preserve">easibility issues </w:t>
            </w:r>
            <w:r>
              <w:rPr>
                <w:rFonts w:hint="eastAsia" w:eastAsia="宋体"/>
              </w:rPr>
              <w:t xml:space="preserve">and standardization efforts </w:t>
            </w:r>
            <w:r>
              <w:rPr>
                <w:rFonts w:hint="eastAsia" w:ascii="Times New Roman" w:eastAsia="Times New Roman"/>
                <w:lang w:val="en-GB" w:eastAsia="ko-KR"/>
              </w:rPr>
              <w:t>for model transfer,</w:t>
            </w:r>
            <w:r>
              <w:rPr>
                <w:rFonts w:hint="eastAsia" w:eastAsia="宋体"/>
              </w:rPr>
              <w:t xml:space="preserve"> </w:t>
            </w:r>
            <w:r>
              <w:rPr>
                <w:rFonts w:hint="eastAsia" w:ascii="Times New Roman" w:eastAsia="Times New Roman"/>
                <w:lang w:val="en-GB" w:eastAsia="ko-KR"/>
              </w:rPr>
              <w:t>model management complexity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rFonts w:eastAsia="宋体"/>
              </w:rPr>
            </w:pPr>
            <w:r>
              <w:rPr>
                <w:lang w:val="en-GB" w:eastAsia="ko-KR"/>
              </w:rPr>
              <w:t>Assistance information</w:t>
            </w:r>
            <w:r>
              <w:rPr>
                <w:rFonts w:hint="eastAsia" w:eastAsia="宋体"/>
              </w:rPr>
              <w:t xml:space="preserve"> transmission</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rFonts w:eastAsia="宋体"/>
              </w:rPr>
            </w:pPr>
            <w:r>
              <w:rPr>
                <w:lang w:val="en-GB" w:eastAsia="ko-KR"/>
              </w:rPr>
              <w:t xml:space="preserve">Provided to UE for dataset categorization via assistance information (e.g., in the form of </w:t>
            </w:r>
            <w:r>
              <w:rPr>
                <w:rFonts w:hint="eastAsia" w:eastAsia="宋体"/>
              </w:rPr>
              <w:t>ID</w:t>
            </w:r>
            <w:r>
              <w:rPr>
                <w:rFonts w:eastAsia="宋体"/>
              </w:rPr>
              <w:t xml:space="preserve">) </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rFonts w:eastAsia="宋体"/>
              </w:rPr>
            </w:pPr>
            <w:r>
              <w:rPr>
                <w:lang w:val="en-GB" w:eastAsia="ko-KR"/>
              </w:rPr>
              <w:t xml:space="preserve">Provided to UE for (transparent) model selection in the form of </w:t>
            </w:r>
            <w:r>
              <w:rPr>
                <w:rFonts w:hint="eastAsia" w:eastAsia="宋体"/>
              </w:rPr>
              <w:t>ID</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rFonts w:eastAsia="宋体"/>
              </w:rPr>
            </w:pPr>
            <w:r>
              <w:rPr>
                <w:rFonts w:hint="eastAsia" w:eastAsia="宋体"/>
              </w:rPr>
              <w:t>F</w:t>
            </w:r>
            <w:r>
              <w:rPr>
                <w:rFonts w:hint="eastAsia" w:ascii="Times New Roman" w:eastAsia="Times New Roman"/>
                <w:lang w:val="en-GB" w:eastAsia="ko-KR"/>
              </w:rPr>
              <w:t xml:space="preserve">easibility issues </w:t>
            </w:r>
            <w:r>
              <w:rPr>
                <w:rFonts w:hint="eastAsia" w:eastAsia="宋体"/>
              </w:rPr>
              <w:t xml:space="preserve">and standardization efforts </w:t>
            </w:r>
            <w:r>
              <w:rPr>
                <w:rFonts w:hint="eastAsia" w:ascii="Times New Roman" w:eastAsia="Times New Roman"/>
                <w:lang w:val="en-GB" w:eastAsia="ko-KR"/>
              </w:rPr>
              <w:t>for dataset categorization in the form of ID,</w:t>
            </w:r>
            <w:r>
              <w:rPr>
                <w:rFonts w:hint="eastAsia" w:eastAsia="宋体"/>
              </w:rPr>
              <w:t xml:space="preserve"> overhead for a</w:t>
            </w:r>
            <w:r>
              <w:rPr>
                <w:lang w:val="en-GB" w:eastAsia="ko-KR"/>
              </w:rPr>
              <w:t>ssistance information</w:t>
            </w:r>
            <w:r>
              <w:rPr>
                <w:rFonts w:hint="eastAsia" w:eastAsia="宋体"/>
              </w:rPr>
              <w:t xml:space="preserve">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rFonts w:eastAsia="Calibri"/>
                <w:lang w:val="en-GB" w:eastAsia="en-US"/>
              </w:rPr>
              <w:t>Consistency assisted by monitoring</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rFonts w:eastAsia="宋体"/>
              </w:rPr>
            </w:pPr>
            <w:r>
              <w:rPr>
                <w:rFonts w:hint="eastAsia" w:eastAsia="宋体"/>
              </w:rPr>
              <w:t>N/A</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rFonts w:eastAsia="宋体"/>
              </w:rPr>
            </w:pPr>
            <w:r>
              <w:rPr>
                <w:rFonts w:hint="eastAsia" w:eastAsia="宋体"/>
              </w:rPr>
              <w:t>Assessment/monitoring of UE-side candidate models/functionalities</w:t>
            </w:r>
          </w:p>
        </w:tc>
        <w:tc>
          <w:tcPr>
            <w:tcW w:w="0" w:type="auto"/>
          </w:tcPr>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lang w:val="en-GB" w:eastAsia="ko-KR"/>
              </w:rPr>
            </w:pPr>
            <w:r>
              <w:rPr>
                <w:rFonts w:hint="eastAsia" w:eastAsia="宋体"/>
              </w:rPr>
              <w:t>N/A</w:t>
            </w:r>
          </w:p>
        </w:tc>
      </w:tr>
    </w:tbl>
    <w:p>
      <w:pPr>
        <w:pStyle w:val="30"/>
        <w:keepNext w:val="0"/>
        <w:keepLines w:val="0"/>
        <w:pageBreakBefore w:val="0"/>
        <w:widowControl/>
        <w:numPr>
          <w:ilvl w:val="0"/>
          <w:numId w:val="31"/>
        </w:numPr>
        <w:kinsoku/>
        <w:wordWrap/>
        <w:overflowPunct/>
        <w:topLinePunct w:val="0"/>
        <w:autoSpaceDE/>
        <w:autoSpaceDN/>
        <w:bidi w:val="0"/>
        <w:adjustRightInd/>
        <w:snapToGrid w:val="0"/>
        <w:spacing w:before="72" w:after="72"/>
        <w:ind w:left="0" w:firstLine="0"/>
        <w:jc w:val="both"/>
        <w:textAlignment w:val="auto"/>
        <w:rPr>
          <w:lang w:val="en-US"/>
        </w:rPr>
      </w:pPr>
      <w:r>
        <w:rPr>
          <w:rFonts w:hint="eastAsia"/>
          <w:lang w:val="en-US"/>
        </w:rPr>
        <w:t>Prioritize that consistency between training and inference regarding NW-side additional conditions (if identified) can be ensured by monitoring the performance of UE-side candidate models/functionalities to select a model/functionality.</w:t>
      </w:r>
    </w:p>
    <w:p>
      <w:pPr>
        <w:pStyle w:val="30"/>
        <w:keepNext w:val="0"/>
        <w:keepLines w:val="0"/>
        <w:pageBreakBefore w:val="0"/>
        <w:widowControl/>
        <w:numPr>
          <w:ilvl w:val="0"/>
          <w:numId w:val="31"/>
        </w:numPr>
        <w:kinsoku/>
        <w:wordWrap/>
        <w:overflowPunct/>
        <w:topLinePunct w:val="0"/>
        <w:autoSpaceDE/>
        <w:autoSpaceDN/>
        <w:bidi w:val="0"/>
        <w:adjustRightInd/>
        <w:snapToGrid w:val="0"/>
        <w:spacing w:before="72" w:after="72"/>
        <w:ind w:left="0" w:firstLine="0"/>
        <w:jc w:val="both"/>
        <w:textAlignment w:val="auto"/>
        <w:rPr>
          <w:lang w:val="en-US"/>
        </w:rPr>
      </w:pPr>
      <w:r>
        <w:rPr>
          <w:lang w:val="en-US" w:eastAsia="en-US"/>
        </w:rPr>
        <w:t xml:space="preserve">Model identification and model-ID based signaling in a Functionality provides model-level management by NW of UE-side and UE-part of two-sided models, which may </w:t>
      </w:r>
      <w:r>
        <w:rPr>
          <w:rFonts w:hint="eastAsia"/>
          <w:lang w:val="en-US"/>
        </w:rPr>
        <w:t xml:space="preserve">provide benefits </w:t>
      </w:r>
      <w:r>
        <w:rPr>
          <w:lang w:val="en-US" w:eastAsia="en-US"/>
        </w:rPr>
        <w:t>at least in the following scenarios:</w:t>
      </w:r>
      <w:r>
        <w:rPr>
          <w:rFonts w:hint="eastAsia"/>
          <w:lang w:val="en-US"/>
        </w:rPr>
        <w:t xml:space="preserve"> </w:t>
      </w:r>
      <w:r>
        <w:rPr>
          <w:lang w:val="en-US" w:eastAsia="en-US"/>
        </w:rPr>
        <w:t>UE side models with model transfer</w:t>
      </w:r>
      <w:r>
        <w:rPr>
          <w:rFonts w:hint="eastAsia"/>
          <w:lang w:val="en-US"/>
        </w:rPr>
        <w:t xml:space="preserve"> (if needed), p</w:t>
      </w:r>
      <w:r>
        <w:rPr>
          <w:lang w:val="en-US" w:eastAsia="en-US"/>
        </w:rPr>
        <w:t>airing of two-sided models</w:t>
      </w:r>
      <w:r>
        <w:rPr>
          <w:rFonts w:hint="eastAsia"/>
          <w:lang w:val="en-US"/>
        </w:rPr>
        <w:t>.</w:t>
      </w:r>
    </w:p>
    <w:p>
      <w:pPr>
        <w:keepNext w:val="0"/>
        <w:keepLines w:val="0"/>
        <w:pageBreakBefore w:val="0"/>
        <w:widowControl/>
        <w:numPr>
          <w:ilvl w:val="0"/>
          <w:numId w:val="6"/>
        </w:numPr>
        <w:kinsoku/>
        <w:wordWrap/>
        <w:overflowPunct/>
        <w:topLinePunct w:val="0"/>
        <w:autoSpaceDE/>
        <w:autoSpaceDN/>
        <w:bidi w:val="0"/>
        <w:adjustRightInd/>
        <w:snapToGrid w:val="0"/>
        <w:spacing w:before="30" w:beforeLines="30" w:after="30" w:afterLines="30" w:line="288" w:lineRule="auto"/>
        <w:jc w:val="left"/>
        <w:textAlignment w:val="auto"/>
        <w:rPr>
          <w:rFonts w:ascii="Times New Roman" w:hAnsi="Times New Roman" w:cs="Times New Roman" w:eastAsiaTheme="minorEastAsia"/>
          <w:b/>
          <w:bCs/>
          <w:i/>
          <w:iCs/>
          <w:kern w:val="2"/>
          <w:lang w:val="en-US" w:eastAsia="zh-CN" w:bidi="ar-SA"/>
        </w:rPr>
      </w:pPr>
      <w:r>
        <w:rPr>
          <w:rFonts w:hint="eastAsia" w:ascii="Times New Roman" w:hAnsi="Times New Roman" w:cs="Times New Roman" w:eastAsiaTheme="minorEastAsia"/>
          <w:b/>
          <w:bCs/>
          <w:i/>
          <w:iCs/>
          <w:kern w:val="2"/>
          <w:lang w:val="en-US" w:eastAsia="zh-CN" w:bidi="ar-SA"/>
        </w:rPr>
        <w:t>Note: Other approaches to achieve model transfer and pairing of two-sided models are not precluded.</w:t>
      </w:r>
    </w:p>
    <w:p>
      <w:pPr>
        <w:pStyle w:val="30"/>
        <w:keepNext w:val="0"/>
        <w:keepLines w:val="0"/>
        <w:pageBreakBefore w:val="0"/>
        <w:widowControl/>
        <w:kinsoku/>
        <w:wordWrap/>
        <w:overflowPunct/>
        <w:topLinePunct w:val="0"/>
        <w:autoSpaceDE/>
        <w:autoSpaceDN/>
        <w:bidi w:val="0"/>
        <w:adjustRightInd/>
        <w:snapToGrid w:val="0"/>
        <w:spacing w:before="72" w:after="72"/>
        <w:ind w:left="0" w:firstLine="0"/>
        <w:jc w:val="both"/>
        <w:textAlignment w:val="auto"/>
        <w:rPr>
          <w:lang w:val="en-US"/>
        </w:rPr>
      </w:pPr>
      <w:r>
        <w:rPr>
          <w:rFonts w:hint="eastAsia"/>
          <w:lang w:val="en-US"/>
        </w:rPr>
        <w:t>Further study how to reuse the current UE capability report to support the functionality identification process, including the following options:</w:t>
      </w:r>
    </w:p>
    <w:p>
      <w:pPr>
        <w:keepNext w:val="0"/>
        <w:keepLines w:val="0"/>
        <w:pageBreakBefore w:val="0"/>
        <w:widowControl/>
        <w:numPr>
          <w:ilvl w:val="0"/>
          <w:numId w:val="6"/>
        </w:numPr>
        <w:kinsoku/>
        <w:wordWrap/>
        <w:overflowPunct/>
        <w:topLinePunct w:val="0"/>
        <w:autoSpaceDE/>
        <w:autoSpaceDN/>
        <w:bidi w:val="0"/>
        <w:adjustRightInd/>
        <w:snapToGrid w:val="0"/>
        <w:spacing w:before="72" w:beforeLines="30" w:after="72" w:afterLines="30" w:line="288" w:lineRule="auto"/>
        <w:jc w:val="both"/>
        <w:textAlignment w:val="auto"/>
        <w:rPr>
          <w:rFonts w:ascii="Times New Roman" w:hAnsi="Times New Roman" w:cs="Times New Roman" w:eastAsiaTheme="minorEastAsia"/>
          <w:b/>
          <w:bCs/>
          <w:i/>
          <w:iCs/>
          <w:kern w:val="2"/>
          <w:lang w:val="en-US" w:eastAsia="zh-CN" w:bidi="ar-SA"/>
        </w:rPr>
      </w:pPr>
      <w:r>
        <w:rPr>
          <w:rFonts w:hint="eastAsia" w:ascii="Times New Roman" w:hAnsi="Times New Roman" w:cs="Times New Roman" w:eastAsiaTheme="minorEastAsia"/>
          <w:b/>
          <w:bCs/>
          <w:i/>
          <w:iCs/>
          <w:kern w:val="2"/>
          <w:lang w:val="en-US" w:eastAsia="zh-CN" w:bidi="ar-SA"/>
        </w:rPr>
        <w:t>Option 1: Functionality identification process totally reuses the UE capability report for non-AI/ML feature/FG defined in current specification.</w:t>
      </w:r>
    </w:p>
    <w:p>
      <w:pPr>
        <w:keepNext w:val="0"/>
        <w:keepLines w:val="0"/>
        <w:pageBreakBefore w:val="0"/>
        <w:widowControl/>
        <w:numPr>
          <w:ilvl w:val="0"/>
          <w:numId w:val="6"/>
        </w:numPr>
        <w:kinsoku/>
        <w:wordWrap/>
        <w:overflowPunct/>
        <w:topLinePunct w:val="0"/>
        <w:autoSpaceDE/>
        <w:autoSpaceDN/>
        <w:bidi w:val="0"/>
        <w:adjustRightInd/>
        <w:snapToGrid w:val="0"/>
        <w:spacing w:before="72" w:beforeLines="30" w:after="72" w:afterLines="30" w:line="288" w:lineRule="auto"/>
        <w:jc w:val="both"/>
        <w:textAlignment w:val="auto"/>
        <w:rPr>
          <w:rFonts w:ascii="Times New Roman" w:hAnsi="Times New Roman" w:cs="Times New Roman" w:eastAsiaTheme="minorEastAsia"/>
          <w:b/>
          <w:bCs/>
          <w:i/>
          <w:iCs/>
          <w:kern w:val="2"/>
          <w:lang w:val="en-US" w:eastAsia="zh-CN" w:bidi="ar-SA"/>
        </w:rPr>
      </w:pPr>
      <w:r>
        <w:rPr>
          <w:rFonts w:hint="eastAsia" w:ascii="Times New Roman" w:hAnsi="Times New Roman" w:cs="Times New Roman" w:eastAsiaTheme="minorEastAsia"/>
          <w:b/>
          <w:bCs/>
          <w:i/>
          <w:iCs/>
          <w:kern w:val="2"/>
          <w:lang w:val="en-US" w:eastAsia="zh-CN" w:bidi="ar-SA"/>
        </w:rPr>
        <w:t>Option 2: T</w:t>
      </w:r>
      <w:r>
        <w:rPr>
          <w:rFonts w:hint="eastAsia" w:ascii="Times New Roman" w:hAnsi="Times New Roman" w:eastAsia="微软雅黑" w:cs="Times New Roman"/>
          <w:b/>
          <w:bCs/>
          <w:i/>
          <w:iCs/>
          <w:kern w:val="2"/>
          <w:lang w:val="en-US" w:eastAsia="zh-CN" w:bidi="ar-SA"/>
        </w:rPr>
        <w:t xml:space="preserve">he </w:t>
      </w:r>
      <w:r>
        <w:rPr>
          <w:rFonts w:hint="eastAsia" w:ascii="Times New Roman" w:hAnsi="Times New Roman" w:cs="Times New Roman" w:eastAsiaTheme="minorEastAsia"/>
          <w:b/>
          <w:bCs/>
          <w:i/>
          <w:iCs/>
          <w:kern w:val="2"/>
          <w:lang w:val="en-US" w:eastAsia="zh-CN" w:bidi="ar-SA"/>
        </w:rPr>
        <w:t xml:space="preserve">UE reports multiple functionalities for the same AI/ML-enabled feature. Each of the functionality and its values of conditions are reported by </w:t>
      </w:r>
      <w:r>
        <w:rPr>
          <w:rFonts w:hint="eastAsia" w:ascii="Times New Roman" w:hAnsi="Times New Roman" w:eastAsia="微软雅黑" w:cs="Times New Roman"/>
          <w:b/>
          <w:bCs/>
          <w:i/>
          <w:iCs/>
          <w:kern w:val="2"/>
          <w:lang w:val="en-US" w:eastAsia="zh-CN" w:bidi="ar-SA"/>
        </w:rPr>
        <w:t xml:space="preserve">the </w:t>
      </w:r>
      <w:r>
        <w:rPr>
          <w:rFonts w:hint="eastAsia" w:ascii="Times New Roman" w:hAnsi="Times New Roman" w:cs="Times New Roman" w:eastAsiaTheme="minorEastAsia"/>
          <w:b/>
          <w:bCs/>
          <w:i/>
          <w:iCs/>
          <w:kern w:val="2"/>
          <w:lang w:val="en-US" w:eastAsia="zh-CN" w:bidi="ar-SA"/>
        </w:rPr>
        <w:t>UE capability.</w:t>
      </w:r>
    </w:p>
    <w:p>
      <w:pPr>
        <w:keepNext w:val="0"/>
        <w:keepLines w:val="0"/>
        <w:pageBreakBefore w:val="0"/>
        <w:widowControl/>
        <w:numPr>
          <w:ilvl w:val="0"/>
          <w:numId w:val="6"/>
        </w:numPr>
        <w:kinsoku/>
        <w:wordWrap/>
        <w:overflowPunct/>
        <w:topLinePunct w:val="0"/>
        <w:autoSpaceDE/>
        <w:autoSpaceDN/>
        <w:bidi w:val="0"/>
        <w:adjustRightInd/>
        <w:snapToGrid w:val="0"/>
        <w:spacing w:before="72" w:beforeLines="30" w:after="72" w:afterLines="30" w:line="288" w:lineRule="auto"/>
        <w:jc w:val="both"/>
        <w:textAlignment w:val="auto"/>
        <w:rPr>
          <w:rFonts w:ascii="Times New Roman" w:hAnsi="Times New Roman" w:cs="Times New Roman" w:eastAsiaTheme="minorEastAsia"/>
          <w:b/>
          <w:bCs/>
          <w:i/>
          <w:iCs/>
          <w:kern w:val="2"/>
          <w:lang w:val="en-US" w:eastAsia="zh-CN" w:bidi="ar-SA"/>
        </w:rPr>
      </w:pPr>
      <w:r>
        <w:rPr>
          <w:rFonts w:hint="eastAsia" w:ascii="Times New Roman" w:hAnsi="Times New Roman" w:cs="Times New Roman" w:eastAsiaTheme="minorEastAsia"/>
          <w:b/>
          <w:bCs/>
          <w:i/>
          <w:iCs/>
          <w:kern w:val="2"/>
          <w:lang w:val="en-US" w:eastAsia="zh-CN" w:bidi="ar-SA"/>
        </w:rPr>
        <w:t xml:space="preserve">Option 3: In the UE capability report, </w:t>
      </w:r>
      <w:r>
        <w:rPr>
          <w:rFonts w:hint="eastAsia" w:ascii="Times New Roman" w:hAnsi="Times New Roman" w:eastAsia="微软雅黑" w:cs="Times New Roman"/>
          <w:b/>
          <w:bCs/>
          <w:i/>
          <w:iCs/>
          <w:kern w:val="2"/>
          <w:lang w:val="en-US" w:eastAsia="zh-CN" w:bidi="ar-SA"/>
        </w:rPr>
        <w:t xml:space="preserve">the </w:t>
      </w:r>
      <w:r>
        <w:rPr>
          <w:rFonts w:hint="eastAsia" w:ascii="Times New Roman" w:hAnsi="Times New Roman" w:cs="Times New Roman" w:eastAsiaTheme="minorEastAsia"/>
          <w:b/>
          <w:bCs/>
          <w:i/>
          <w:iCs/>
          <w:kern w:val="2"/>
          <w:lang w:val="en-US" w:eastAsia="zh-CN" w:bidi="ar-SA"/>
        </w:rPr>
        <w:t>UE indicates all supported candidate values for each condition/component of an AI/ML-enabled feature as legacy. After the UE capability report, the functionality can be further reported by UE or configured by NW via model transfer.</w:t>
      </w:r>
    </w:p>
    <w:p>
      <w:pPr>
        <w:pStyle w:val="30"/>
        <w:keepNext w:val="0"/>
        <w:keepLines w:val="0"/>
        <w:pageBreakBefore w:val="0"/>
        <w:widowControl/>
        <w:kinsoku/>
        <w:wordWrap/>
        <w:overflowPunct/>
        <w:topLinePunct w:val="0"/>
        <w:autoSpaceDE/>
        <w:autoSpaceDN/>
        <w:bidi w:val="0"/>
        <w:adjustRightInd/>
        <w:snapToGrid w:val="0"/>
        <w:spacing w:before="72" w:after="72"/>
        <w:ind w:left="0" w:firstLine="0"/>
        <w:jc w:val="both"/>
        <w:textAlignment w:val="auto"/>
        <w:rPr>
          <w:lang w:val="en-US"/>
        </w:rPr>
      </w:pPr>
      <w:r>
        <w:rPr>
          <w:rFonts w:hint="eastAsia"/>
          <w:lang w:val="en-US"/>
        </w:rPr>
        <w:t xml:space="preserve">Support to define functionality ID to differentiate functionalities supported by </w:t>
      </w:r>
      <w:r>
        <w:rPr>
          <w:rFonts w:hint="eastAsia" w:eastAsia="微软雅黑"/>
          <w:lang w:val="en-US"/>
        </w:rPr>
        <w:t xml:space="preserve">the </w:t>
      </w:r>
      <w:r>
        <w:rPr>
          <w:rFonts w:hint="eastAsia"/>
          <w:lang w:val="en-US"/>
        </w:rPr>
        <w:t>UE, where different functionality IDs may be associated with different configurations indicated in conditions.</w:t>
      </w:r>
    </w:p>
    <w:p>
      <w:pPr>
        <w:pStyle w:val="30"/>
        <w:keepNext w:val="0"/>
        <w:keepLines w:val="0"/>
        <w:pageBreakBefore w:val="0"/>
        <w:widowControl/>
        <w:kinsoku/>
        <w:wordWrap/>
        <w:overflowPunct/>
        <w:topLinePunct w:val="0"/>
        <w:autoSpaceDE/>
        <w:autoSpaceDN/>
        <w:bidi w:val="0"/>
        <w:adjustRightInd/>
        <w:snapToGrid w:val="0"/>
        <w:spacing w:before="72" w:after="72"/>
        <w:ind w:left="0" w:firstLine="0"/>
        <w:jc w:val="both"/>
        <w:textAlignment w:val="auto"/>
        <w:rPr>
          <w:lang w:val="en-US"/>
        </w:rPr>
      </w:pPr>
      <w:r>
        <w:rPr>
          <w:rFonts w:hint="eastAsia"/>
          <w:lang w:val="en-US"/>
        </w:rPr>
        <w:t>Clarify the following understandings for model ID in Rel-18:</w:t>
      </w:r>
    </w:p>
    <w:p>
      <w:pPr>
        <w:keepNext w:val="0"/>
        <w:keepLines w:val="0"/>
        <w:pageBreakBefore w:val="0"/>
        <w:widowControl/>
        <w:numPr>
          <w:ilvl w:val="0"/>
          <w:numId w:val="6"/>
        </w:numPr>
        <w:kinsoku/>
        <w:wordWrap/>
        <w:overflowPunct/>
        <w:topLinePunct w:val="0"/>
        <w:autoSpaceDE/>
        <w:autoSpaceDN/>
        <w:bidi w:val="0"/>
        <w:adjustRightInd/>
        <w:snapToGrid w:val="0"/>
        <w:spacing w:before="72" w:beforeLines="30" w:after="72" w:afterLines="30" w:line="288" w:lineRule="auto"/>
        <w:jc w:val="both"/>
        <w:textAlignment w:val="auto"/>
        <w:rPr>
          <w:rFonts w:ascii="Times New Roman" w:hAnsi="Times New Roman" w:cs="Times New Roman" w:eastAsiaTheme="minorEastAsia"/>
          <w:b/>
          <w:bCs/>
          <w:i/>
          <w:iCs/>
          <w:kern w:val="2"/>
          <w:lang w:val="en-US" w:eastAsia="zh-CN" w:bidi="ar-SA"/>
        </w:rPr>
      </w:pPr>
      <w:r>
        <w:rPr>
          <w:rFonts w:hint="eastAsia" w:ascii="Times New Roman" w:hAnsi="Times New Roman" w:cs="Times New Roman" w:eastAsiaTheme="minorEastAsia"/>
          <w:b/>
          <w:bCs/>
          <w:i/>
          <w:iCs/>
          <w:kern w:val="2"/>
          <w:lang w:val="en-US" w:eastAsia="zh-CN" w:bidi="ar-SA"/>
        </w:rPr>
        <w:t xml:space="preserve">A </w:t>
      </w:r>
      <w:r>
        <w:rPr>
          <w:rFonts w:ascii="Times New Roman" w:hAnsi="Times New Roman" w:cs="Times New Roman" w:eastAsiaTheme="minorEastAsia"/>
          <w:b/>
          <w:bCs/>
          <w:i/>
          <w:iCs/>
          <w:kern w:val="2"/>
          <w:lang w:val="en-US" w:eastAsia="zh-CN" w:bidi="ar-SA"/>
        </w:rPr>
        <w:t>‘</w:t>
      </w:r>
      <w:r>
        <w:rPr>
          <w:rFonts w:hint="eastAsia" w:ascii="Times New Roman" w:hAnsi="Times New Roman" w:cs="Times New Roman" w:eastAsiaTheme="minorEastAsia"/>
          <w:b/>
          <w:bCs/>
          <w:i/>
          <w:iCs/>
          <w:kern w:val="2"/>
          <w:lang w:val="en-US" w:eastAsia="zh-CN" w:bidi="ar-SA"/>
        </w:rPr>
        <w:t>globally</w:t>
      </w:r>
      <w:r>
        <w:rPr>
          <w:rFonts w:ascii="Times New Roman" w:hAnsi="Times New Roman" w:cs="Times New Roman" w:eastAsiaTheme="minorEastAsia"/>
          <w:b/>
          <w:bCs/>
          <w:i/>
          <w:iCs/>
          <w:kern w:val="2"/>
          <w:lang w:val="en-US" w:eastAsia="zh-CN" w:bidi="ar-SA"/>
        </w:rPr>
        <w:t>’</w:t>
      </w:r>
      <w:r>
        <w:rPr>
          <w:rFonts w:hint="eastAsia" w:ascii="Times New Roman" w:hAnsi="Times New Roman" w:cs="Times New Roman" w:eastAsiaTheme="minorEastAsia"/>
          <w:b/>
          <w:bCs/>
          <w:i/>
          <w:iCs/>
          <w:kern w:val="2"/>
          <w:lang w:val="en-US" w:eastAsia="zh-CN" w:bidi="ar-SA"/>
        </w:rPr>
        <w:t xml:space="preserve"> unique model ID is determined/assigned during the model identification process;</w:t>
      </w:r>
    </w:p>
    <w:p>
      <w:pPr>
        <w:keepNext w:val="0"/>
        <w:keepLines w:val="0"/>
        <w:pageBreakBefore w:val="0"/>
        <w:widowControl/>
        <w:numPr>
          <w:ilvl w:val="0"/>
          <w:numId w:val="6"/>
        </w:numPr>
        <w:kinsoku/>
        <w:wordWrap/>
        <w:overflowPunct/>
        <w:topLinePunct w:val="0"/>
        <w:autoSpaceDE/>
        <w:autoSpaceDN/>
        <w:bidi w:val="0"/>
        <w:adjustRightInd/>
        <w:snapToGrid w:val="0"/>
        <w:spacing w:before="72" w:beforeLines="30" w:after="72" w:afterLines="30" w:line="288" w:lineRule="auto"/>
        <w:jc w:val="both"/>
        <w:textAlignment w:val="auto"/>
        <w:rPr>
          <w:rFonts w:ascii="Times New Roman" w:hAnsi="Times New Roman" w:cs="Times New Roman" w:eastAsiaTheme="minorEastAsia"/>
          <w:b/>
          <w:bCs/>
          <w:i/>
          <w:iCs/>
          <w:kern w:val="2"/>
          <w:lang w:val="en-US" w:eastAsia="zh-CN" w:bidi="ar-SA"/>
        </w:rPr>
      </w:pPr>
      <w:r>
        <w:rPr>
          <w:rFonts w:hint="eastAsia" w:ascii="Times New Roman" w:hAnsi="Times New Roman" w:cs="Times New Roman" w:eastAsiaTheme="minorEastAsia"/>
          <w:b/>
          <w:bCs/>
          <w:i/>
          <w:iCs/>
          <w:kern w:val="2"/>
          <w:lang w:val="en-US" w:eastAsia="zh-CN" w:bidi="ar-SA"/>
        </w:rPr>
        <w:t xml:space="preserve">After the model identification process, UE may report the supported model IDs by referring to the </w:t>
      </w:r>
      <w:r>
        <w:rPr>
          <w:rFonts w:ascii="Times New Roman" w:hAnsi="Times New Roman" w:cs="Times New Roman" w:eastAsiaTheme="minorEastAsia"/>
          <w:b/>
          <w:bCs/>
          <w:i/>
          <w:iCs/>
          <w:kern w:val="2"/>
          <w:lang w:val="en-US" w:eastAsia="zh-CN" w:bidi="ar-SA"/>
        </w:rPr>
        <w:t>‘</w:t>
      </w:r>
      <w:r>
        <w:rPr>
          <w:rFonts w:hint="eastAsia" w:ascii="Times New Roman" w:hAnsi="Times New Roman" w:cs="Times New Roman" w:eastAsiaTheme="minorEastAsia"/>
          <w:b/>
          <w:bCs/>
          <w:i/>
          <w:iCs/>
          <w:kern w:val="2"/>
          <w:lang w:val="en-US" w:eastAsia="zh-CN" w:bidi="ar-SA"/>
        </w:rPr>
        <w:t>globally</w:t>
      </w:r>
      <w:r>
        <w:rPr>
          <w:rFonts w:ascii="Times New Roman" w:hAnsi="Times New Roman" w:cs="Times New Roman" w:eastAsiaTheme="minorEastAsia"/>
          <w:b/>
          <w:bCs/>
          <w:i/>
          <w:iCs/>
          <w:kern w:val="2"/>
          <w:lang w:val="en-US" w:eastAsia="zh-CN" w:bidi="ar-SA"/>
        </w:rPr>
        <w:t>’</w:t>
      </w:r>
      <w:r>
        <w:rPr>
          <w:rFonts w:hint="eastAsia" w:ascii="Times New Roman" w:hAnsi="Times New Roman" w:cs="Times New Roman" w:eastAsiaTheme="minorEastAsia"/>
          <w:b/>
          <w:bCs/>
          <w:i/>
          <w:iCs/>
          <w:kern w:val="2"/>
          <w:lang w:val="en-US" w:eastAsia="zh-CN" w:bidi="ar-SA"/>
        </w:rPr>
        <w:t xml:space="preserve"> unique IDs;</w:t>
      </w:r>
    </w:p>
    <w:p>
      <w:pPr>
        <w:keepNext w:val="0"/>
        <w:keepLines w:val="0"/>
        <w:pageBreakBefore w:val="0"/>
        <w:widowControl/>
        <w:numPr>
          <w:ilvl w:val="0"/>
          <w:numId w:val="6"/>
        </w:numPr>
        <w:kinsoku/>
        <w:wordWrap/>
        <w:overflowPunct/>
        <w:topLinePunct w:val="0"/>
        <w:autoSpaceDE/>
        <w:autoSpaceDN/>
        <w:bidi w:val="0"/>
        <w:adjustRightInd/>
        <w:snapToGrid w:val="0"/>
        <w:spacing w:before="72" w:beforeLines="30" w:after="72" w:afterLines="30" w:line="288" w:lineRule="auto"/>
        <w:jc w:val="both"/>
        <w:textAlignment w:val="auto"/>
        <w:rPr>
          <w:rFonts w:ascii="Times New Roman" w:hAnsi="Times New Roman" w:cs="Times New Roman" w:eastAsiaTheme="minorEastAsia"/>
          <w:b/>
          <w:bCs/>
          <w:i/>
          <w:iCs/>
          <w:kern w:val="2"/>
          <w:lang w:val="en-US" w:eastAsia="zh-CN" w:bidi="ar-SA"/>
        </w:rPr>
      </w:pPr>
      <w:r>
        <w:rPr>
          <w:rFonts w:hint="eastAsia" w:ascii="Times New Roman" w:hAnsi="Times New Roman" w:cs="Times New Roman" w:eastAsiaTheme="minorEastAsia"/>
          <w:b/>
          <w:bCs/>
          <w:i/>
          <w:iCs/>
          <w:kern w:val="2"/>
          <w:lang w:val="en-US" w:eastAsia="zh-CN" w:bidi="ar-SA"/>
        </w:rPr>
        <w:t>In order to reduce the signaling overhead, network may use a local ID to indicate model activation, deactivation, switching, fallback, and monitoring after the UE capability report;</w:t>
      </w:r>
    </w:p>
    <w:p>
      <w:pPr>
        <w:keepNext w:val="0"/>
        <w:keepLines w:val="0"/>
        <w:pageBreakBefore w:val="0"/>
        <w:widowControl/>
        <w:numPr>
          <w:ilvl w:val="0"/>
          <w:numId w:val="6"/>
        </w:numPr>
        <w:kinsoku/>
        <w:wordWrap/>
        <w:overflowPunct/>
        <w:topLinePunct w:val="0"/>
        <w:autoSpaceDE/>
        <w:autoSpaceDN/>
        <w:bidi w:val="0"/>
        <w:adjustRightInd/>
        <w:snapToGrid w:val="0"/>
        <w:spacing w:before="72" w:beforeLines="30" w:after="72" w:afterLines="30" w:line="288" w:lineRule="auto"/>
        <w:jc w:val="both"/>
        <w:textAlignment w:val="auto"/>
        <w:rPr>
          <w:rFonts w:ascii="Times New Roman" w:hAnsi="Times New Roman" w:cs="Times New Roman" w:eastAsiaTheme="minorEastAsia"/>
          <w:b/>
          <w:bCs/>
          <w:i/>
          <w:iCs/>
          <w:kern w:val="2"/>
          <w:lang w:val="en-US" w:eastAsia="zh-CN" w:bidi="ar-SA"/>
        </w:rPr>
      </w:pPr>
      <w:r>
        <w:rPr>
          <w:rFonts w:hint="eastAsia" w:ascii="Times New Roman" w:hAnsi="Times New Roman" w:cs="Times New Roman" w:eastAsiaTheme="minorEastAsia"/>
          <w:b/>
          <w:bCs/>
          <w:i/>
          <w:iCs/>
          <w:kern w:val="2"/>
          <w:lang w:val="en-US" w:eastAsia="zh-CN" w:bidi="ar-SA"/>
        </w:rPr>
        <w:t xml:space="preserve">Network should inform UE about the mapping from the </w:t>
      </w:r>
      <w:r>
        <w:rPr>
          <w:rFonts w:ascii="Times New Roman" w:hAnsi="Times New Roman" w:cs="Times New Roman" w:eastAsiaTheme="minorEastAsia"/>
          <w:b/>
          <w:bCs/>
          <w:i/>
          <w:iCs/>
          <w:kern w:val="2"/>
          <w:lang w:val="en-US" w:eastAsia="zh-CN" w:bidi="ar-SA"/>
        </w:rPr>
        <w:t>‘</w:t>
      </w:r>
      <w:r>
        <w:rPr>
          <w:rFonts w:hint="eastAsia" w:ascii="Times New Roman" w:hAnsi="Times New Roman" w:cs="Times New Roman" w:eastAsiaTheme="minorEastAsia"/>
          <w:b/>
          <w:bCs/>
          <w:i/>
          <w:iCs/>
          <w:kern w:val="2"/>
          <w:lang w:val="en-US" w:eastAsia="zh-CN" w:bidi="ar-SA"/>
        </w:rPr>
        <w:t>globally</w:t>
      </w:r>
      <w:r>
        <w:rPr>
          <w:rFonts w:ascii="Times New Roman" w:hAnsi="Times New Roman" w:cs="Times New Roman" w:eastAsiaTheme="minorEastAsia"/>
          <w:b/>
          <w:bCs/>
          <w:i/>
          <w:iCs/>
          <w:kern w:val="2"/>
          <w:lang w:val="en-US" w:eastAsia="zh-CN" w:bidi="ar-SA"/>
        </w:rPr>
        <w:t>’</w:t>
      </w:r>
      <w:r>
        <w:rPr>
          <w:rFonts w:hint="eastAsia" w:ascii="Times New Roman" w:hAnsi="Times New Roman" w:cs="Times New Roman" w:eastAsiaTheme="minorEastAsia"/>
          <w:b/>
          <w:bCs/>
          <w:i/>
          <w:iCs/>
          <w:kern w:val="2"/>
          <w:lang w:val="en-US" w:eastAsia="zh-CN" w:bidi="ar-SA"/>
        </w:rPr>
        <w:t xml:space="preserve"> unique model ID to the local ID.</w:t>
      </w:r>
    </w:p>
    <w:p>
      <w:pPr>
        <w:pStyle w:val="30"/>
        <w:keepNext w:val="0"/>
        <w:keepLines w:val="0"/>
        <w:pageBreakBefore w:val="0"/>
        <w:widowControl/>
        <w:kinsoku/>
        <w:wordWrap/>
        <w:overflowPunct/>
        <w:topLinePunct w:val="0"/>
        <w:autoSpaceDE/>
        <w:autoSpaceDN/>
        <w:bidi w:val="0"/>
        <w:adjustRightInd/>
        <w:snapToGrid w:val="0"/>
        <w:spacing w:before="72" w:after="72"/>
        <w:ind w:left="0" w:firstLine="0"/>
        <w:jc w:val="both"/>
        <w:textAlignment w:val="auto"/>
        <w:rPr>
          <w:lang w:val="en-US"/>
        </w:rPr>
      </w:pPr>
      <w:r>
        <w:rPr>
          <w:rFonts w:hint="eastAsia"/>
          <w:lang w:val="en-US"/>
        </w:rPr>
        <w:t>The functionality may or may not be associated with model ID(s) identified between UE and NW. If there are no associated model ID(s) under a functionality, it normally implies that the functionality can be workable for any additional conditions (if identified) before the UE reporting of applicable functionalities.</w:t>
      </w:r>
    </w:p>
    <w:p>
      <w:pPr>
        <w:pStyle w:val="30"/>
        <w:keepNext w:val="0"/>
        <w:keepLines w:val="0"/>
        <w:pageBreakBefore w:val="0"/>
        <w:widowControl/>
        <w:kinsoku/>
        <w:wordWrap/>
        <w:overflowPunct/>
        <w:topLinePunct w:val="0"/>
        <w:autoSpaceDE/>
        <w:autoSpaceDN/>
        <w:bidi w:val="0"/>
        <w:adjustRightInd/>
        <w:snapToGrid w:val="0"/>
        <w:spacing w:before="72" w:after="72"/>
        <w:ind w:left="0" w:firstLine="0"/>
        <w:jc w:val="both"/>
        <w:textAlignment w:val="auto"/>
        <w:rPr>
          <w:lang w:val="en-US"/>
        </w:rPr>
      </w:pPr>
      <w:r>
        <w:rPr>
          <w:rFonts w:hint="eastAsia"/>
          <w:lang w:val="en-US"/>
        </w:rPr>
        <w:t>Conclude the different model transfer/delivery options in terms of benefits, challenges, and specification impacts based on the following tables: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7"/>
        <w:gridCol w:w="1783"/>
        <w:gridCol w:w="2980"/>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54" w:type="dxa"/>
          </w:tcPr>
          <w:p>
            <w:pPr>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textAlignment w:val="auto"/>
              <w:rPr>
                <w:rFonts w:eastAsia="宋体"/>
              </w:rPr>
            </w:pPr>
            <w:r>
              <w:rPr>
                <w:rFonts w:eastAsia="宋体"/>
              </w:rPr>
              <w:t>Network-side training</w:t>
            </w:r>
          </w:p>
        </w:tc>
        <w:tc>
          <w:tcPr>
            <w:tcW w:w="1596" w:type="dxa"/>
          </w:tcPr>
          <w:p>
            <w:pPr>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textAlignment w:val="auto"/>
              <w:rPr>
                <w:lang w:val="en-GB"/>
              </w:rPr>
            </w:pPr>
            <w:r>
              <w:rPr>
                <w:lang w:val="en-GB"/>
              </w:rPr>
              <w:t>Benefits</w:t>
            </w:r>
          </w:p>
        </w:tc>
        <w:tc>
          <w:tcPr>
            <w:tcW w:w="2988" w:type="dxa"/>
          </w:tcPr>
          <w:p>
            <w:pPr>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textAlignment w:val="auto"/>
              <w:rPr>
                <w:lang w:val="en-GB"/>
              </w:rPr>
            </w:pPr>
            <w:r>
              <w:rPr>
                <w:lang w:val="en-GB"/>
              </w:rPr>
              <w:t>Challenges / requirements</w:t>
            </w:r>
          </w:p>
        </w:tc>
        <w:tc>
          <w:tcPr>
            <w:tcW w:w="2777" w:type="dxa"/>
          </w:tcPr>
          <w:p>
            <w:pPr>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textAlignment w:val="auto"/>
              <w:rPr>
                <w:lang w:val="en-GB"/>
              </w:rPr>
            </w:pPr>
            <w:r>
              <w:rPr>
                <w:lang w:val="en-GB"/>
              </w:rPr>
              <w:t xml:space="preserve">Potential specification impact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dxa"/>
          </w:tcPr>
          <w:p>
            <w:pPr>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textAlignment w:val="auto"/>
              <w:rPr>
                <w:lang w:val="en-GB"/>
              </w:rPr>
            </w:pPr>
            <w:r>
              <w:rPr>
                <w:lang w:val="en-GB"/>
              </w:rPr>
              <w:t>y</w:t>
            </w:r>
          </w:p>
        </w:tc>
        <w:tc>
          <w:tcPr>
            <w:tcW w:w="1596" w:type="dxa"/>
          </w:tcPr>
          <w:p>
            <w:pPr>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textAlignment w:val="auto"/>
              <w:rPr>
                <w:lang w:val="en-GB"/>
              </w:rPr>
            </w:pPr>
            <w:r>
              <w:rPr>
                <w:lang w:val="en-GB"/>
              </w:rPr>
              <w:t>-</w:t>
            </w:r>
          </w:p>
        </w:tc>
        <w:tc>
          <w:tcPr>
            <w:tcW w:w="2988" w:type="dxa"/>
          </w:tcPr>
          <w:p>
            <w:pPr>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textAlignment w:val="auto"/>
              <w:rPr>
                <w:lang w:val="en-GB"/>
              </w:rPr>
            </w:pPr>
            <w:r>
              <w:rPr>
                <w:lang w:val="en-GB"/>
              </w:rPr>
              <w:t>-</w:t>
            </w:r>
          </w:p>
        </w:tc>
        <w:tc>
          <w:tcPr>
            <w:tcW w:w="2777" w:type="dxa"/>
          </w:tcPr>
          <w:p>
            <w:pPr>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textAlignment w:val="auto"/>
              <w:rPr>
                <w:lang w:val="en-GB"/>
              </w:rPr>
            </w:pPr>
            <w:r>
              <w:rPr>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rPr>
            </w:pPr>
            <w:r>
              <w:rPr>
                <w:sz w:val="20"/>
              </w:rPr>
              <w:t>Z2</w:t>
            </w:r>
          </w:p>
        </w:tc>
        <w:tc>
          <w:tcPr>
            <w:tcW w:w="1596"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trike/>
                <w:sz w:val="20"/>
                <w:lang w:eastAsia="zh-CN"/>
              </w:rPr>
            </w:pPr>
            <w:r>
              <w:rPr>
                <w:sz w:val="20"/>
              </w:rPr>
              <w:t>B</w:t>
            </w:r>
            <w:r>
              <w:rPr>
                <w:rFonts w:hint="eastAsia"/>
                <w:sz w:val="20"/>
                <w:lang w:val="en-US" w:eastAsia="zh-CN"/>
              </w:rPr>
              <w:t>4</w:t>
            </w:r>
            <w:r>
              <w:rPr>
                <w:sz w:val="20"/>
              </w:rPr>
              <w:t>, B</w:t>
            </w:r>
            <w:r>
              <w:rPr>
                <w:rFonts w:hint="eastAsia"/>
                <w:sz w:val="20"/>
                <w:lang w:val="en-US" w:eastAsia="zh-CN"/>
              </w:rPr>
              <w:t>5</w:t>
            </w:r>
          </w:p>
        </w:tc>
        <w:tc>
          <w:tcPr>
            <w:tcW w:w="2988"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lang w:val="en-US" w:eastAsia="zh-CN"/>
              </w:rPr>
            </w:pPr>
            <w:r>
              <w:rPr>
                <w:sz w:val="20"/>
              </w:rPr>
              <w:t>C</w:t>
            </w:r>
            <w:r>
              <w:rPr>
                <w:rFonts w:hint="eastAsia"/>
                <w:sz w:val="20"/>
                <w:lang w:val="en-US" w:eastAsia="zh-CN"/>
              </w:rPr>
              <w:t>1</w:t>
            </w:r>
            <w:r>
              <w:rPr>
                <w:sz w:val="20"/>
              </w:rPr>
              <w:t>, C</w:t>
            </w:r>
            <w:r>
              <w:rPr>
                <w:rFonts w:hint="eastAsia"/>
                <w:sz w:val="20"/>
                <w:lang w:val="en-US" w:eastAsia="zh-CN"/>
              </w:rPr>
              <w:t>3</w:t>
            </w:r>
            <w:r>
              <w:rPr>
                <w:sz w:val="20"/>
              </w:rPr>
              <w:t>, C</w:t>
            </w:r>
            <w:r>
              <w:rPr>
                <w:rFonts w:hint="eastAsia"/>
                <w:sz w:val="20"/>
                <w:lang w:val="en-US" w:eastAsia="zh-CN"/>
              </w:rPr>
              <w:t>4</w:t>
            </w:r>
          </w:p>
        </w:tc>
        <w:tc>
          <w:tcPr>
            <w:tcW w:w="2777"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rPr>
            </w:pPr>
            <w:r>
              <w:rPr>
                <w:sz w:val="20"/>
              </w:rPr>
              <w:t>S0, [S1]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rPr>
            </w:pPr>
            <w:r>
              <w:rPr>
                <w:sz w:val="20"/>
              </w:rPr>
              <w:t>Z4</w:t>
            </w:r>
          </w:p>
        </w:tc>
        <w:tc>
          <w:tcPr>
            <w:tcW w:w="1596"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lang w:val="en-US" w:eastAsia="zh-CN"/>
              </w:rPr>
            </w:pPr>
            <w:r>
              <w:rPr>
                <w:sz w:val="20"/>
              </w:rPr>
              <w:t>B1, B</w:t>
            </w:r>
            <w:r>
              <w:rPr>
                <w:rFonts w:hint="eastAsia"/>
                <w:sz w:val="20"/>
                <w:lang w:val="en-US" w:eastAsia="zh-CN"/>
              </w:rPr>
              <w:t>3</w:t>
            </w:r>
            <w:r>
              <w:rPr>
                <w:sz w:val="20"/>
              </w:rPr>
              <w:t>, B</w:t>
            </w:r>
            <w:r>
              <w:rPr>
                <w:rFonts w:hint="eastAsia"/>
                <w:sz w:val="20"/>
                <w:lang w:val="en-US" w:eastAsia="zh-CN"/>
              </w:rPr>
              <w:t>4</w:t>
            </w:r>
            <w:r>
              <w:rPr>
                <w:sz w:val="20"/>
              </w:rPr>
              <w:t>, </w:t>
            </w:r>
            <w:r>
              <w:rPr>
                <w:rFonts w:hint="eastAsia"/>
                <w:sz w:val="20"/>
                <w:lang w:val="en-US" w:eastAsia="zh-CN"/>
              </w:rPr>
              <w:t>B5</w:t>
            </w:r>
          </w:p>
        </w:tc>
        <w:tc>
          <w:tcPr>
            <w:tcW w:w="2988"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lang w:eastAsia="zh-CN"/>
              </w:rPr>
            </w:pPr>
            <w:r>
              <w:rPr>
                <w:sz w:val="20"/>
              </w:rPr>
              <w:t>C</w:t>
            </w:r>
            <w:r>
              <w:rPr>
                <w:rFonts w:hint="eastAsia"/>
                <w:sz w:val="20"/>
                <w:lang w:val="en-US" w:eastAsia="zh-CN"/>
              </w:rPr>
              <w:t>1</w:t>
            </w:r>
            <w:r>
              <w:rPr>
                <w:sz w:val="20"/>
              </w:rPr>
              <w:t>, C</w:t>
            </w:r>
            <w:r>
              <w:rPr>
                <w:rFonts w:hint="eastAsia"/>
                <w:sz w:val="20"/>
                <w:lang w:val="en-US" w:eastAsia="zh-CN"/>
              </w:rPr>
              <w:t>2</w:t>
            </w:r>
            <w:r>
              <w:rPr>
                <w:sz w:val="20"/>
              </w:rPr>
              <w:t>, C</w:t>
            </w:r>
            <w:r>
              <w:rPr>
                <w:rFonts w:hint="eastAsia"/>
                <w:sz w:val="20"/>
                <w:lang w:val="en-US" w:eastAsia="zh-CN"/>
              </w:rPr>
              <w:t>3</w:t>
            </w:r>
          </w:p>
        </w:tc>
        <w:tc>
          <w:tcPr>
            <w:tcW w:w="2777"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rPr>
            </w:pPr>
            <w:r>
              <w:rPr>
                <w:sz w:val="20"/>
              </w:rPr>
              <w:t>S0, 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rPr>
            </w:pPr>
            <w:r>
              <w:rPr>
                <w:sz w:val="20"/>
              </w:rPr>
              <w:t>Z5</w:t>
            </w:r>
          </w:p>
        </w:tc>
        <w:tc>
          <w:tcPr>
            <w:tcW w:w="1596"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lang w:val="en-US" w:eastAsia="zh-CN"/>
              </w:rPr>
            </w:pPr>
            <w:r>
              <w:rPr>
                <w:sz w:val="20"/>
              </w:rPr>
              <w:t>B1, B</w:t>
            </w:r>
            <w:r>
              <w:rPr>
                <w:rFonts w:hint="eastAsia"/>
                <w:sz w:val="20"/>
                <w:lang w:val="en-US" w:eastAsia="zh-CN"/>
              </w:rPr>
              <w:t>2</w:t>
            </w:r>
            <w:r>
              <w:rPr>
                <w:sz w:val="20"/>
              </w:rPr>
              <w:t>, B</w:t>
            </w:r>
            <w:r>
              <w:rPr>
                <w:rFonts w:hint="eastAsia"/>
                <w:sz w:val="20"/>
                <w:lang w:val="en-US" w:eastAsia="zh-CN"/>
              </w:rPr>
              <w:t>3</w:t>
            </w:r>
            <w:r>
              <w:rPr>
                <w:sz w:val="20"/>
              </w:rPr>
              <w:t>, B</w:t>
            </w:r>
            <w:r>
              <w:rPr>
                <w:rFonts w:hint="eastAsia"/>
                <w:sz w:val="20"/>
                <w:lang w:val="en-US" w:eastAsia="zh-CN"/>
              </w:rPr>
              <w:t>4</w:t>
            </w:r>
            <w:r>
              <w:rPr>
                <w:sz w:val="20"/>
              </w:rPr>
              <w:t>, B</w:t>
            </w:r>
            <w:r>
              <w:rPr>
                <w:rFonts w:hint="eastAsia"/>
                <w:sz w:val="20"/>
                <w:lang w:val="en-US" w:eastAsia="zh-CN"/>
              </w:rPr>
              <w:t>5</w:t>
            </w:r>
          </w:p>
        </w:tc>
        <w:tc>
          <w:tcPr>
            <w:tcW w:w="2988"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lang w:eastAsia="zh-CN"/>
              </w:rPr>
            </w:pPr>
            <w:r>
              <w:rPr>
                <w:sz w:val="20"/>
              </w:rPr>
              <w:t>C</w:t>
            </w:r>
            <w:r>
              <w:rPr>
                <w:rFonts w:hint="eastAsia"/>
                <w:sz w:val="20"/>
                <w:lang w:val="en-US" w:eastAsia="zh-CN"/>
              </w:rPr>
              <w:t>1</w:t>
            </w:r>
            <w:r>
              <w:rPr>
                <w:sz w:val="20"/>
              </w:rPr>
              <w:t>, C</w:t>
            </w:r>
            <w:r>
              <w:rPr>
                <w:rFonts w:hint="eastAsia"/>
                <w:sz w:val="20"/>
                <w:lang w:val="en-US" w:eastAsia="zh-CN"/>
              </w:rPr>
              <w:t>2</w:t>
            </w:r>
            <w:r>
              <w:rPr>
                <w:sz w:val="20"/>
              </w:rPr>
              <w:t>, C</w:t>
            </w:r>
            <w:r>
              <w:rPr>
                <w:rFonts w:hint="eastAsia"/>
                <w:sz w:val="20"/>
                <w:lang w:val="en-US" w:eastAsia="zh-CN"/>
              </w:rPr>
              <w:t>3</w:t>
            </w:r>
            <w:r>
              <w:rPr>
                <w:sz w:val="20"/>
              </w:rPr>
              <w:t>, C</w:t>
            </w:r>
            <w:r>
              <w:rPr>
                <w:rFonts w:hint="eastAsia"/>
                <w:sz w:val="20"/>
                <w:lang w:val="en-US" w:eastAsia="zh-CN"/>
              </w:rPr>
              <w:t>5</w:t>
            </w:r>
            <w:r>
              <w:rPr>
                <w:sz w:val="20"/>
              </w:rPr>
              <w:t>, C</w:t>
            </w:r>
            <w:r>
              <w:rPr>
                <w:rFonts w:hint="eastAsia"/>
                <w:sz w:val="20"/>
                <w:lang w:val="en-US" w:eastAsia="zh-CN"/>
              </w:rPr>
              <w:t>6</w:t>
            </w:r>
          </w:p>
        </w:tc>
        <w:tc>
          <w:tcPr>
            <w:tcW w:w="2777"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rPr>
            </w:pPr>
            <w:r>
              <w:rPr>
                <w:sz w:val="20"/>
              </w:rPr>
              <w:t>S0, S1, S2</w:t>
            </w:r>
          </w:p>
        </w:tc>
      </w:tr>
    </w:tbl>
    <w:p>
      <w:pPr>
        <w:snapToGrid w:val="0"/>
        <w:spacing w:before="72" w:beforeLines="30" w:after="72" w:afterLines="30" w:line="288" w:lineRule="auto"/>
        <w:rPr>
          <w:rFonts w:eastAsia="宋体"/>
          <w:b/>
          <w:kern w:val="0"/>
        </w:rPr>
      </w:pPr>
    </w:p>
    <w:tbl>
      <w:tblPr>
        <w:tblStyle w:val="23"/>
        <w:tblW w:w="9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8"/>
        <w:gridCol w:w="1626"/>
        <w:gridCol w:w="3044"/>
        <w:gridCol w:w="2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2398" w:type="dxa"/>
          </w:tcPr>
          <w:p>
            <w:pPr>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textAlignment w:val="auto"/>
              <w:rPr>
                <w:rFonts w:eastAsia="宋体"/>
              </w:rPr>
            </w:pPr>
            <w:r>
              <w:t>UE-side / neutral site</w:t>
            </w:r>
            <w:r>
              <w:rPr>
                <w:rFonts w:hint="eastAsia" w:eastAsia="宋体"/>
              </w:rPr>
              <w:t xml:space="preserve"> training</w:t>
            </w:r>
          </w:p>
        </w:tc>
        <w:tc>
          <w:tcPr>
            <w:tcW w:w="1626" w:type="dxa"/>
          </w:tcPr>
          <w:p>
            <w:pPr>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textAlignment w:val="auto"/>
              <w:rPr>
                <w:lang w:val="en-GB"/>
              </w:rPr>
            </w:pPr>
            <w:r>
              <w:rPr>
                <w:lang w:val="en-GB"/>
              </w:rPr>
              <w:t>Benefits</w:t>
            </w:r>
          </w:p>
        </w:tc>
        <w:tc>
          <w:tcPr>
            <w:tcW w:w="3044" w:type="dxa"/>
          </w:tcPr>
          <w:p>
            <w:pPr>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textAlignment w:val="auto"/>
              <w:rPr>
                <w:lang w:val="en-GB"/>
              </w:rPr>
            </w:pPr>
            <w:r>
              <w:rPr>
                <w:lang w:val="en-GB"/>
              </w:rPr>
              <w:t>Challenges / requirements</w:t>
            </w:r>
          </w:p>
        </w:tc>
        <w:tc>
          <w:tcPr>
            <w:tcW w:w="2829" w:type="dxa"/>
          </w:tcPr>
          <w:p>
            <w:pPr>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textAlignment w:val="auto"/>
              <w:rPr>
                <w:lang w:val="en-GB"/>
              </w:rPr>
            </w:pPr>
            <w:r>
              <w:rPr>
                <w:lang w:val="en-GB"/>
              </w:rPr>
              <w:t xml:space="preserve">Potential specification impact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398"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rPr>
            </w:pPr>
            <w:r>
              <w:rPr>
                <w:sz w:val="20"/>
              </w:rPr>
              <w:t>y</w:t>
            </w:r>
          </w:p>
        </w:tc>
        <w:tc>
          <w:tcPr>
            <w:tcW w:w="1626"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rPr>
            </w:pPr>
            <w:r>
              <w:rPr>
                <w:sz w:val="20"/>
              </w:rPr>
              <w:t>-</w:t>
            </w:r>
          </w:p>
        </w:tc>
        <w:tc>
          <w:tcPr>
            <w:tcW w:w="3044"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rPr>
            </w:pPr>
            <w:r>
              <w:rPr>
                <w:sz w:val="20"/>
              </w:rPr>
              <w:t>-</w:t>
            </w:r>
          </w:p>
        </w:tc>
        <w:tc>
          <w:tcPr>
            <w:tcW w:w="2829"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rPr>
            </w:pP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398"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rPr>
            </w:pPr>
            <w:r>
              <w:rPr>
                <w:sz w:val="20"/>
              </w:rPr>
              <w:t>Z1</w:t>
            </w:r>
          </w:p>
        </w:tc>
        <w:tc>
          <w:tcPr>
            <w:tcW w:w="1626"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trike/>
                <w:sz w:val="20"/>
                <w:lang w:val="en-US" w:eastAsia="zh-CN"/>
              </w:rPr>
            </w:pPr>
            <w:r>
              <w:rPr>
                <w:sz w:val="20"/>
              </w:rPr>
              <w:t>B</w:t>
            </w:r>
            <w:r>
              <w:rPr>
                <w:rFonts w:hint="eastAsia"/>
                <w:sz w:val="20"/>
                <w:lang w:val="en-US" w:eastAsia="zh-CN"/>
              </w:rPr>
              <w:t>5</w:t>
            </w:r>
          </w:p>
        </w:tc>
        <w:tc>
          <w:tcPr>
            <w:tcW w:w="3044"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lang w:val="en-US" w:eastAsia="zh-CN"/>
              </w:rPr>
            </w:pPr>
            <w:r>
              <w:rPr>
                <w:sz w:val="20"/>
              </w:rPr>
              <w:t>C</w:t>
            </w:r>
            <w:r>
              <w:rPr>
                <w:rFonts w:hint="eastAsia"/>
                <w:sz w:val="20"/>
                <w:lang w:val="en-US" w:eastAsia="zh-CN"/>
              </w:rPr>
              <w:t>4</w:t>
            </w:r>
          </w:p>
        </w:tc>
        <w:tc>
          <w:tcPr>
            <w:tcW w:w="2829"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rPr>
            </w:pPr>
            <w:r>
              <w:rPr>
                <w:sz w:val="20"/>
              </w:rPr>
              <w:t>S0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2398"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rPr>
            </w:pPr>
            <w:r>
              <w:rPr>
                <w:sz w:val="20"/>
              </w:rPr>
              <w:t>Z3</w:t>
            </w:r>
          </w:p>
        </w:tc>
        <w:tc>
          <w:tcPr>
            <w:tcW w:w="1626"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lang w:val="en-US" w:eastAsia="zh-CN"/>
              </w:rPr>
            </w:pPr>
            <w:r>
              <w:rPr>
                <w:sz w:val="20"/>
              </w:rPr>
              <w:t>B</w:t>
            </w:r>
            <w:r>
              <w:rPr>
                <w:rFonts w:hint="eastAsia"/>
                <w:sz w:val="20"/>
                <w:lang w:val="en-US" w:eastAsia="zh-CN"/>
              </w:rPr>
              <w:t>5</w:t>
            </w:r>
          </w:p>
        </w:tc>
        <w:tc>
          <w:tcPr>
            <w:tcW w:w="3044"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lang w:val="en-US" w:eastAsia="zh-CN"/>
              </w:rPr>
            </w:pPr>
            <w:r>
              <w:rPr>
                <w:sz w:val="20"/>
              </w:rPr>
              <w:t>C</w:t>
            </w:r>
            <w:r>
              <w:rPr>
                <w:rFonts w:hint="eastAsia"/>
                <w:sz w:val="20"/>
                <w:lang w:val="en-US" w:eastAsia="zh-CN"/>
              </w:rPr>
              <w:t>1</w:t>
            </w:r>
            <w:r>
              <w:rPr>
                <w:sz w:val="20"/>
              </w:rPr>
              <w:t>, C</w:t>
            </w:r>
            <w:r>
              <w:rPr>
                <w:rFonts w:hint="eastAsia"/>
                <w:sz w:val="20"/>
                <w:lang w:val="en-US" w:eastAsia="zh-CN"/>
              </w:rPr>
              <w:t>2</w:t>
            </w:r>
            <w:r>
              <w:rPr>
                <w:sz w:val="20"/>
              </w:rPr>
              <w:t>, C</w:t>
            </w:r>
            <w:r>
              <w:rPr>
                <w:rFonts w:hint="eastAsia"/>
                <w:sz w:val="20"/>
                <w:lang w:val="en-US" w:eastAsia="zh-CN"/>
              </w:rPr>
              <w:t>3</w:t>
            </w:r>
            <w:r>
              <w:rPr>
                <w:sz w:val="20"/>
              </w:rPr>
              <w:t>, C</w:t>
            </w:r>
            <w:r>
              <w:rPr>
                <w:rFonts w:hint="eastAsia"/>
                <w:sz w:val="20"/>
                <w:lang w:val="en-US" w:eastAsia="zh-CN"/>
              </w:rPr>
              <w:t>4</w:t>
            </w:r>
          </w:p>
        </w:tc>
        <w:tc>
          <w:tcPr>
            <w:tcW w:w="2829" w:type="dxa"/>
            <w:vAlign w:val="center"/>
          </w:tcPr>
          <w:p>
            <w:pPr>
              <w:pStyle w:val="20"/>
              <w:keepNext w:val="0"/>
              <w:keepLines w:val="0"/>
              <w:pageBreakBefore w:val="0"/>
              <w:widowControl/>
              <w:kinsoku/>
              <w:wordWrap/>
              <w:overflowPunct/>
              <w:topLinePunct w:val="0"/>
              <w:autoSpaceDE/>
              <w:autoSpaceDN/>
              <w:bidi w:val="0"/>
              <w:adjustRightInd/>
              <w:snapToGrid w:val="0"/>
              <w:spacing w:before="82" w:beforeLines="30" w:beforeAutospacing="0" w:after="82" w:afterLines="30" w:afterAutospacing="0" w:line="288" w:lineRule="auto"/>
              <w:jc w:val="both"/>
              <w:textAlignment w:val="auto"/>
              <w:rPr>
                <w:sz w:val="20"/>
              </w:rPr>
            </w:pPr>
            <w:r>
              <w:rPr>
                <w:sz w:val="20"/>
              </w:rPr>
              <w:t>S0, S1</w:t>
            </w:r>
          </w:p>
        </w:tc>
      </w:tr>
    </w:tbl>
    <w:p>
      <w:pPr>
        <w:keepNext w:val="0"/>
        <w:keepLines w:val="0"/>
        <w:pageBreakBefore w:val="0"/>
        <w:widowControl/>
        <w:numPr>
          <w:ilvl w:val="0"/>
          <w:numId w:val="6"/>
        </w:numPr>
        <w:kinsoku/>
        <w:wordWrap/>
        <w:overflowPunct/>
        <w:topLinePunct w:val="0"/>
        <w:autoSpaceDE/>
        <w:autoSpaceDN/>
        <w:bidi w:val="0"/>
        <w:adjustRightInd/>
        <w:snapToGrid w:val="0"/>
        <w:spacing w:before="72" w:beforeLines="30" w:after="72" w:afterLines="30" w:line="288" w:lineRule="auto"/>
        <w:jc w:val="both"/>
        <w:textAlignment w:val="auto"/>
        <w:rPr>
          <w:rFonts w:ascii="Times New Roman" w:hAnsi="Times New Roman" w:cs="Times New Roman" w:eastAsiaTheme="minorEastAsia"/>
          <w:b/>
          <w:bCs/>
          <w:i/>
          <w:iCs/>
          <w:kern w:val="2"/>
          <w:lang w:val="en-GB" w:eastAsia="zh-CN" w:bidi="ar-SA"/>
        </w:rPr>
      </w:pPr>
      <w:r>
        <w:rPr>
          <w:rFonts w:ascii="Times New Roman" w:hAnsi="Times New Roman" w:cs="Times New Roman" w:eastAsiaTheme="minorEastAsia"/>
          <w:b/>
          <w:bCs/>
          <w:i/>
          <w:iCs/>
          <w:kern w:val="2"/>
          <w:lang w:val="en-GB" w:eastAsia="zh-CN" w:bidi="ar-SA"/>
        </w:rPr>
        <w:t>Benefits:</w:t>
      </w:r>
    </w:p>
    <w:p>
      <w:pPr>
        <w:pStyle w:val="35"/>
        <w:keepNext w:val="0"/>
        <w:keepLines w:val="0"/>
        <w:pageBreakBefore w:val="0"/>
        <w:widowControl/>
        <w:kinsoku/>
        <w:wordWrap/>
        <w:overflowPunct/>
        <w:topLinePunct w:val="0"/>
        <w:autoSpaceDE/>
        <w:autoSpaceDN/>
        <w:bidi w:val="0"/>
        <w:adjustRightInd/>
        <w:snapToGrid w:val="0"/>
        <w:spacing w:before="72" w:after="72"/>
        <w:ind w:left="400"/>
        <w:jc w:val="both"/>
        <w:textAlignment w:val="auto"/>
      </w:pPr>
      <w:r>
        <w:rPr>
          <w:lang w:val="en-GB"/>
        </w:rPr>
        <w:t xml:space="preserve">B1: </w:t>
      </w:r>
      <w:r>
        <w:t>Shorter model parameter update timescale without requiring offline compiling</w:t>
      </w:r>
    </w:p>
    <w:p>
      <w:pPr>
        <w:pStyle w:val="35"/>
        <w:keepNext w:val="0"/>
        <w:keepLines w:val="0"/>
        <w:pageBreakBefore w:val="0"/>
        <w:widowControl/>
        <w:kinsoku/>
        <w:wordWrap/>
        <w:overflowPunct/>
        <w:topLinePunct w:val="0"/>
        <w:autoSpaceDE/>
        <w:autoSpaceDN/>
        <w:bidi w:val="0"/>
        <w:adjustRightInd/>
        <w:snapToGrid w:val="0"/>
        <w:spacing w:before="72" w:after="72"/>
        <w:ind w:left="400"/>
        <w:jc w:val="both"/>
        <w:textAlignment w:val="auto"/>
      </w:pPr>
      <w:r>
        <w:t>B</w:t>
      </w:r>
      <w:r>
        <w:rPr>
          <w:rFonts w:hint="eastAsia"/>
        </w:rPr>
        <w:t>2</w:t>
      </w:r>
      <w:r>
        <w:t>: Flexibility for model structure update without</w:t>
      </w:r>
      <w:r>
        <w:rPr>
          <w:rFonts w:hint="eastAsia"/>
        </w:rPr>
        <w:t>/with less</w:t>
      </w:r>
      <w:r>
        <w:t xml:space="preserve"> offline co-engineering</w:t>
      </w:r>
    </w:p>
    <w:p>
      <w:pPr>
        <w:pStyle w:val="35"/>
        <w:keepNext w:val="0"/>
        <w:keepLines w:val="0"/>
        <w:pageBreakBefore w:val="0"/>
        <w:widowControl/>
        <w:kinsoku/>
        <w:wordWrap/>
        <w:overflowPunct/>
        <w:topLinePunct w:val="0"/>
        <w:autoSpaceDE/>
        <w:autoSpaceDN/>
        <w:bidi w:val="0"/>
        <w:adjustRightInd/>
        <w:snapToGrid w:val="0"/>
        <w:spacing w:before="72" w:after="72"/>
        <w:ind w:left="400"/>
        <w:jc w:val="both"/>
        <w:textAlignment w:val="auto"/>
      </w:pPr>
      <w:r>
        <w:t>B</w:t>
      </w:r>
      <w:r>
        <w:rPr>
          <w:rFonts w:hint="eastAsia"/>
        </w:rPr>
        <w:t>3</w:t>
      </w:r>
      <w:r>
        <w:t>: Flexibility for model parameter update without</w:t>
      </w:r>
      <w:r>
        <w:rPr>
          <w:rFonts w:hint="eastAsia"/>
        </w:rPr>
        <w:t>/with less</w:t>
      </w:r>
      <w:r>
        <w:t xml:space="preserve"> offline co-engineering</w:t>
      </w:r>
    </w:p>
    <w:p>
      <w:pPr>
        <w:pStyle w:val="35"/>
        <w:keepNext w:val="0"/>
        <w:keepLines w:val="0"/>
        <w:pageBreakBefore w:val="0"/>
        <w:widowControl/>
        <w:kinsoku/>
        <w:wordWrap/>
        <w:overflowPunct/>
        <w:topLinePunct w:val="0"/>
        <w:autoSpaceDE/>
        <w:autoSpaceDN/>
        <w:bidi w:val="0"/>
        <w:adjustRightInd/>
        <w:snapToGrid w:val="0"/>
        <w:spacing w:before="72" w:after="72"/>
        <w:ind w:left="400"/>
        <w:jc w:val="both"/>
        <w:textAlignment w:val="auto"/>
      </w:pPr>
      <w:r>
        <w:rPr>
          <w:rFonts w:hint="eastAsia"/>
        </w:rPr>
        <w:t xml:space="preserve">B4: </w:t>
      </w:r>
      <w:r>
        <w:t>Less difficulty for offline training dataset exchange/exposure from network side to outside 3GPP network.</w:t>
      </w:r>
    </w:p>
    <w:p>
      <w:pPr>
        <w:pStyle w:val="35"/>
        <w:keepNext w:val="0"/>
        <w:keepLines w:val="0"/>
        <w:pageBreakBefore w:val="0"/>
        <w:widowControl/>
        <w:kinsoku/>
        <w:wordWrap/>
        <w:overflowPunct/>
        <w:topLinePunct w:val="0"/>
        <w:autoSpaceDE/>
        <w:autoSpaceDN/>
        <w:bidi w:val="0"/>
        <w:adjustRightInd/>
        <w:snapToGrid w:val="0"/>
        <w:spacing w:before="72" w:after="72"/>
        <w:ind w:left="400"/>
        <w:jc w:val="both"/>
        <w:textAlignment w:val="auto"/>
      </w:pPr>
      <w:r>
        <w:t>B</w:t>
      </w:r>
      <w:r>
        <w:rPr>
          <w:rFonts w:hint="eastAsia"/>
        </w:rPr>
        <w:t>5</w:t>
      </w:r>
      <w:r>
        <w:t>: Smaller end to end model delivery latency from model storage to UE and less requirement on user consent for delivering model in non-3GPP way or less requirement on device storage for storing models in device.</w:t>
      </w:r>
    </w:p>
    <w:p>
      <w:pPr>
        <w:keepNext w:val="0"/>
        <w:keepLines w:val="0"/>
        <w:pageBreakBefore w:val="0"/>
        <w:widowControl/>
        <w:numPr>
          <w:ilvl w:val="0"/>
          <w:numId w:val="6"/>
        </w:numPr>
        <w:kinsoku/>
        <w:wordWrap/>
        <w:overflowPunct/>
        <w:topLinePunct w:val="0"/>
        <w:autoSpaceDE/>
        <w:autoSpaceDN/>
        <w:bidi w:val="0"/>
        <w:adjustRightInd/>
        <w:snapToGrid w:val="0"/>
        <w:spacing w:before="72" w:beforeLines="30" w:after="72" w:afterLines="30" w:line="288" w:lineRule="auto"/>
        <w:jc w:val="both"/>
        <w:textAlignment w:val="auto"/>
        <w:rPr>
          <w:rFonts w:ascii="Times New Roman" w:hAnsi="Times New Roman" w:cs="Times New Roman" w:eastAsiaTheme="minorEastAsia"/>
          <w:b/>
          <w:bCs/>
          <w:i/>
          <w:iCs/>
          <w:kern w:val="2"/>
          <w:lang w:val="en-GB" w:eastAsia="zh-CN" w:bidi="ar-SA"/>
        </w:rPr>
      </w:pPr>
      <w:r>
        <w:rPr>
          <w:rFonts w:ascii="Times New Roman" w:hAnsi="Times New Roman" w:cs="Times New Roman" w:eastAsiaTheme="minorEastAsia"/>
          <w:b/>
          <w:bCs/>
          <w:i/>
          <w:iCs/>
          <w:kern w:val="2"/>
          <w:lang w:val="en-GB" w:eastAsia="zh-CN" w:bidi="ar-SA"/>
        </w:rPr>
        <w:t>Challenges and requirements:</w:t>
      </w:r>
    </w:p>
    <w:p>
      <w:pPr>
        <w:pStyle w:val="35"/>
        <w:keepNext w:val="0"/>
        <w:keepLines w:val="0"/>
        <w:pageBreakBefore w:val="0"/>
        <w:widowControl/>
        <w:kinsoku/>
        <w:wordWrap/>
        <w:overflowPunct/>
        <w:topLinePunct w:val="0"/>
        <w:autoSpaceDE/>
        <w:autoSpaceDN/>
        <w:bidi w:val="0"/>
        <w:adjustRightInd/>
        <w:snapToGrid w:val="0"/>
        <w:spacing w:before="72" w:after="72"/>
        <w:ind w:left="400"/>
        <w:jc w:val="both"/>
        <w:textAlignment w:val="auto"/>
        <w:rPr>
          <w:lang w:val="en-GB"/>
        </w:rPr>
      </w:pPr>
      <w:r>
        <w:rPr>
          <w:lang w:val="en-GB"/>
        </w:rPr>
        <w:t>C</w:t>
      </w:r>
      <w:r>
        <w:rPr>
          <w:rFonts w:hint="eastAsia"/>
        </w:rPr>
        <w:t>1</w:t>
      </w:r>
      <w:r>
        <w:rPr>
          <w:lang w:val="en-GB"/>
        </w:rPr>
        <w:t>: Preservation of proprietary design</w:t>
      </w:r>
    </w:p>
    <w:p>
      <w:pPr>
        <w:pStyle w:val="35"/>
        <w:keepNext w:val="0"/>
        <w:keepLines w:val="0"/>
        <w:pageBreakBefore w:val="0"/>
        <w:widowControl/>
        <w:numPr>
          <w:ilvl w:val="0"/>
          <w:numId w:val="27"/>
        </w:numPr>
        <w:tabs>
          <w:tab w:val="clear" w:pos="840"/>
        </w:tabs>
        <w:kinsoku/>
        <w:wordWrap/>
        <w:overflowPunct/>
        <w:topLinePunct w:val="0"/>
        <w:autoSpaceDE/>
        <w:autoSpaceDN/>
        <w:bidi w:val="0"/>
        <w:adjustRightInd/>
        <w:snapToGrid w:val="0"/>
        <w:spacing w:before="72" w:after="72"/>
        <w:ind w:left="820"/>
        <w:jc w:val="both"/>
        <w:textAlignment w:val="auto"/>
        <w:rPr>
          <w:lang w:val="en-GB"/>
        </w:rPr>
      </w:pPr>
      <w:r>
        <w:rPr>
          <w:lang w:val="en-GB"/>
        </w:rPr>
        <w:t xml:space="preserve">Note: This may not be a concern if the model </w:t>
      </w:r>
      <w:r>
        <w:rPr>
          <w:rFonts w:hint="eastAsia"/>
        </w:rPr>
        <w:t xml:space="preserve">structure </w:t>
      </w:r>
      <w:r>
        <w:rPr>
          <w:lang w:val="en-GB"/>
        </w:rPr>
        <w:t>is widely known and does not involve any device-specific design decisions.</w:t>
      </w:r>
    </w:p>
    <w:p>
      <w:pPr>
        <w:pStyle w:val="35"/>
        <w:keepNext w:val="0"/>
        <w:keepLines w:val="0"/>
        <w:pageBreakBefore w:val="0"/>
        <w:widowControl/>
        <w:kinsoku/>
        <w:wordWrap/>
        <w:overflowPunct/>
        <w:topLinePunct w:val="0"/>
        <w:autoSpaceDE/>
        <w:autoSpaceDN/>
        <w:bidi w:val="0"/>
        <w:adjustRightInd/>
        <w:snapToGrid w:val="0"/>
        <w:spacing w:before="72" w:after="72"/>
        <w:ind w:left="400"/>
        <w:jc w:val="both"/>
        <w:textAlignment w:val="auto"/>
        <w:rPr>
          <w:lang w:val="en-GB"/>
        </w:rPr>
      </w:pPr>
      <w:r>
        <w:rPr>
          <w:lang w:val="en-GB"/>
        </w:rPr>
        <w:t>C</w:t>
      </w:r>
      <w:r>
        <w:rPr>
          <w:rFonts w:hint="eastAsia"/>
        </w:rPr>
        <w:t>2</w:t>
      </w:r>
      <w:r>
        <w:rPr>
          <w:lang w:val="en-GB"/>
        </w:rPr>
        <w:t xml:space="preserve">: </w:t>
      </w:r>
      <w:r>
        <w:t>UE capability for accepting new parameters on an existing model structure, such as</w:t>
      </w:r>
      <w:r>
        <w:rPr>
          <w:rFonts w:hint="eastAsia"/>
        </w:rPr>
        <w:t xml:space="preserve"> </w:t>
      </w:r>
      <w:r>
        <w:t>quantization, updating and running the model</w:t>
      </w:r>
    </w:p>
    <w:p>
      <w:pPr>
        <w:pStyle w:val="35"/>
        <w:keepNext w:val="0"/>
        <w:keepLines w:val="0"/>
        <w:pageBreakBefore w:val="0"/>
        <w:widowControl/>
        <w:numPr>
          <w:ilvl w:val="0"/>
          <w:numId w:val="27"/>
        </w:numPr>
        <w:tabs>
          <w:tab w:val="clear" w:pos="840"/>
        </w:tabs>
        <w:kinsoku/>
        <w:wordWrap/>
        <w:overflowPunct/>
        <w:topLinePunct w:val="0"/>
        <w:autoSpaceDE/>
        <w:autoSpaceDN/>
        <w:bidi w:val="0"/>
        <w:adjustRightInd/>
        <w:snapToGrid w:val="0"/>
        <w:spacing w:before="72" w:after="72"/>
        <w:ind w:left="820"/>
        <w:jc w:val="both"/>
        <w:textAlignment w:val="auto"/>
        <w:rPr>
          <w:lang w:val="en-GB"/>
        </w:rPr>
      </w:pPr>
      <w:r>
        <w:rPr>
          <w:lang w:val="en-GB"/>
        </w:rPr>
        <w:t>Note: This may not be a requirement for a properly implemented device with the flexibility to update the parameter of a model.</w:t>
      </w:r>
    </w:p>
    <w:p>
      <w:pPr>
        <w:pStyle w:val="35"/>
        <w:keepNext w:val="0"/>
        <w:keepLines w:val="0"/>
        <w:pageBreakBefore w:val="0"/>
        <w:widowControl/>
        <w:kinsoku/>
        <w:wordWrap/>
        <w:overflowPunct/>
        <w:topLinePunct w:val="0"/>
        <w:autoSpaceDE/>
        <w:autoSpaceDN/>
        <w:bidi w:val="0"/>
        <w:adjustRightInd/>
        <w:snapToGrid w:val="0"/>
        <w:spacing w:before="72" w:after="72"/>
        <w:ind w:left="400"/>
        <w:jc w:val="both"/>
        <w:textAlignment w:val="auto"/>
        <w:rPr>
          <w:lang w:val="en-GB"/>
        </w:rPr>
      </w:pPr>
      <w:r>
        <w:rPr>
          <w:lang w:val="en-GB"/>
        </w:rPr>
        <w:t>C</w:t>
      </w:r>
      <w:r>
        <w:rPr>
          <w:rFonts w:hint="eastAsia"/>
        </w:rPr>
        <w:t>3</w:t>
      </w:r>
      <w:r>
        <w:rPr>
          <w:lang w:val="en-GB"/>
        </w:rPr>
        <w:t>: Lack of performance guarantee and testability of an updated model prior to deployment, compared to the baseline scenario of going through offline quantization, compiling, and testing of the updated model with the rest of the modem implementation.</w:t>
      </w:r>
    </w:p>
    <w:p>
      <w:pPr>
        <w:pStyle w:val="35"/>
        <w:keepNext w:val="0"/>
        <w:keepLines w:val="0"/>
        <w:pageBreakBefore w:val="0"/>
        <w:widowControl/>
        <w:numPr>
          <w:ilvl w:val="0"/>
          <w:numId w:val="27"/>
        </w:numPr>
        <w:tabs>
          <w:tab w:val="clear" w:pos="840"/>
        </w:tabs>
        <w:kinsoku/>
        <w:wordWrap/>
        <w:overflowPunct/>
        <w:topLinePunct w:val="0"/>
        <w:autoSpaceDE/>
        <w:autoSpaceDN/>
        <w:bidi w:val="0"/>
        <w:adjustRightInd/>
        <w:snapToGrid w:val="0"/>
        <w:spacing w:before="72" w:after="72"/>
        <w:ind w:left="820"/>
        <w:jc w:val="both"/>
        <w:textAlignment w:val="auto"/>
        <w:rPr>
          <w:lang w:val="en-GB"/>
        </w:rPr>
      </w:pPr>
      <w:r>
        <w:rPr>
          <w:lang w:val="en-GB"/>
        </w:rPr>
        <w:t xml:space="preserve">Note: This may not be a challenge if performance can be monitored/assessed after the model is deployed or RAN4 testing cases are properly designed. Proper implementation or alignment of quantization would also address this concern </w:t>
      </w:r>
    </w:p>
    <w:p>
      <w:pPr>
        <w:pStyle w:val="35"/>
        <w:keepNext w:val="0"/>
        <w:keepLines w:val="0"/>
        <w:pageBreakBefore w:val="0"/>
        <w:widowControl/>
        <w:kinsoku/>
        <w:wordWrap/>
        <w:overflowPunct/>
        <w:topLinePunct w:val="0"/>
        <w:autoSpaceDE/>
        <w:autoSpaceDN/>
        <w:bidi w:val="0"/>
        <w:adjustRightInd/>
        <w:snapToGrid w:val="0"/>
        <w:spacing w:before="72" w:after="72"/>
        <w:ind w:left="400"/>
        <w:jc w:val="both"/>
        <w:textAlignment w:val="auto"/>
      </w:pPr>
      <w:r>
        <w:rPr>
          <w:rFonts w:hint="eastAsia"/>
        </w:rPr>
        <w:t xml:space="preserve">C4: </w:t>
      </w:r>
      <w:r>
        <w:rPr>
          <w:lang w:val="en-GB"/>
        </w:rPr>
        <w:t>Longer model update timescale and more coordination between network side and UE side/neutral site when the model training location (or offline compiling location) and model storage location are not on the same side;</w:t>
      </w:r>
    </w:p>
    <w:p>
      <w:pPr>
        <w:pStyle w:val="35"/>
        <w:keepNext w:val="0"/>
        <w:keepLines w:val="0"/>
        <w:pageBreakBefore w:val="0"/>
        <w:widowControl/>
        <w:kinsoku/>
        <w:wordWrap/>
        <w:overflowPunct/>
        <w:topLinePunct w:val="0"/>
        <w:autoSpaceDE/>
        <w:autoSpaceDN/>
        <w:bidi w:val="0"/>
        <w:adjustRightInd/>
        <w:snapToGrid w:val="0"/>
        <w:spacing w:before="72" w:after="72"/>
        <w:ind w:left="400"/>
        <w:jc w:val="both"/>
        <w:textAlignment w:val="auto"/>
      </w:pPr>
      <w:r>
        <w:rPr>
          <w:lang w:val="en-GB"/>
        </w:rPr>
        <w:t>C</w:t>
      </w:r>
      <w:r>
        <w:rPr>
          <w:rFonts w:hint="eastAsia"/>
        </w:rPr>
        <w:t>5</w:t>
      </w:r>
      <w:r>
        <w:rPr>
          <w:lang w:val="en-GB"/>
        </w:rPr>
        <w:t>: Device specific optimization of the model structure</w:t>
      </w:r>
    </w:p>
    <w:p>
      <w:pPr>
        <w:pStyle w:val="35"/>
        <w:keepNext w:val="0"/>
        <w:keepLines w:val="0"/>
        <w:pageBreakBefore w:val="0"/>
        <w:widowControl/>
        <w:kinsoku/>
        <w:wordWrap/>
        <w:overflowPunct/>
        <w:topLinePunct w:val="0"/>
        <w:autoSpaceDE/>
        <w:autoSpaceDN/>
        <w:bidi w:val="0"/>
        <w:adjustRightInd/>
        <w:snapToGrid w:val="0"/>
        <w:spacing w:before="72" w:after="72"/>
        <w:ind w:left="400"/>
        <w:jc w:val="both"/>
        <w:textAlignment w:val="auto"/>
      </w:pPr>
      <w:r>
        <w:rPr>
          <w:lang w:val="en-GB"/>
        </w:rPr>
        <w:t>C</w:t>
      </w:r>
      <w:r>
        <w:rPr>
          <w:rFonts w:hint="eastAsia"/>
        </w:rPr>
        <w:t>6</w:t>
      </w:r>
      <w:r>
        <w:rPr>
          <w:lang w:val="en-GB"/>
        </w:rPr>
        <w:t>: Device capability of converting an unknown structure into executable format</w:t>
      </w:r>
    </w:p>
    <w:p>
      <w:pPr>
        <w:keepNext w:val="0"/>
        <w:keepLines w:val="0"/>
        <w:pageBreakBefore w:val="0"/>
        <w:widowControl/>
        <w:numPr>
          <w:ilvl w:val="0"/>
          <w:numId w:val="6"/>
        </w:numPr>
        <w:kinsoku/>
        <w:wordWrap/>
        <w:overflowPunct/>
        <w:topLinePunct w:val="0"/>
        <w:autoSpaceDE/>
        <w:autoSpaceDN/>
        <w:bidi w:val="0"/>
        <w:adjustRightInd/>
        <w:snapToGrid w:val="0"/>
        <w:spacing w:before="72" w:beforeLines="30" w:after="72" w:afterLines="30" w:line="288" w:lineRule="auto"/>
        <w:jc w:val="both"/>
        <w:textAlignment w:val="auto"/>
        <w:rPr>
          <w:rFonts w:ascii="Times New Roman" w:hAnsi="Times New Roman" w:cs="Times New Roman" w:eastAsiaTheme="minorEastAsia"/>
          <w:b/>
          <w:bCs/>
          <w:i/>
          <w:iCs/>
          <w:kern w:val="2"/>
          <w:lang w:val="en-GB" w:eastAsia="zh-CN" w:bidi="ar-SA"/>
        </w:rPr>
      </w:pPr>
      <w:r>
        <w:rPr>
          <w:rFonts w:ascii="Times New Roman" w:hAnsi="Times New Roman" w:cs="Times New Roman" w:eastAsiaTheme="minorEastAsia"/>
          <w:b/>
          <w:bCs/>
          <w:i/>
          <w:iCs/>
          <w:kern w:val="2"/>
          <w:lang w:val="en-GB" w:eastAsia="zh-CN" w:bidi="ar-SA"/>
        </w:rPr>
        <w:t>Potential specification impact:</w:t>
      </w:r>
    </w:p>
    <w:p>
      <w:pPr>
        <w:pStyle w:val="35"/>
        <w:keepNext w:val="0"/>
        <w:keepLines w:val="0"/>
        <w:pageBreakBefore w:val="0"/>
        <w:widowControl/>
        <w:kinsoku/>
        <w:wordWrap/>
        <w:overflowPunct/>
        <w:topLinePunct w:val="0"/>
        <w:autoSpaceDE/>
        <w:autoSpaceDN/>
        <w:bidi w:val="0"/>
        <w:adjustRightInd/>
        <w:snapToGrid w:val="0"/>
        <w:spacing w:before="72" w:after="72"/>
        <w:ind w:left="400"/>
        <w:jc w:val="both"/>
        <w:textAlignment w:val="auto"/>
        <w:rPr>
          <w:lang w:val="en-GB"/>
        </w:rPr>
      </w:pPr>
      <w:r>
        <w:rPr>
          <w:lang w:val="en-GB"/>
        </w:rPr>
        <w:t>S0: Specification related to model transfer</w:t>
      </w:r>
    </w:p>
    <w:p>
      <w:pPr>
        <w:pStyle w:val="35"/>
        <w:keepNext w:val="0"/>
        <w:keepLines w:val="0"/>
        <w:pageBreakBefore w:val="0"/>
        <w:widowControl/>
        <w:kinsoku/>
        <w:wordWrap/>
        <w:overflowPunct/>
        <w:topLinePunct w:val="0"/>
        <w:autoSpaceDE/>
        <w:autoSpaceDN/>
        <w:bidi w:val="0"/>
        <w:adjustRightInd/>
        <w:snapToGrid w:val="0"/>
        <w:spacing w:before="72" w:after="72"/>
        <w:ind w:left="400"/>
        <w:jc w:val="both"/>
        <w:textAlignment w:val="auto"/>
        <w:rPr>
          <w:lang w:val="en-GB"/>
        </w:rPr>
      </w:pPr>
      <w:r>
        <w:rPr>
          <w:lang w:val="en-GB"/>
        </w:rPr>
        <w:t xml:space="preserve">S1: Specification of model format </w:t>
      </w:r>
      <w:r>
        <w:rPr>
          <w:rFonts w:hint="eastAsia"/>
        </w:rPr>
        <w:t xml:space="preserve">alignment </w:t>
      </w:r>
      <w:r>
        <w:rPr>
          <w:lang w:val="en-GB"/>
        </w:rPr>
        <w:t>for open-format model transfer</w:t>
      </w:r>
    </w:p>
    <w:p>
      <w:pPr>
        <w:pStyle w:val="35"/>
        <w:keepNext w:val="0"/>
        <w:keepLines w:val="0"/>
        <w:pageBreakBefore w:val="0"/>
        <w:widowControl/>
        <w:numPr>
          <w:ilvl w:val="0"/>
          <w:numId w:val="27"/>
        </w:numPr>
        <w:tabs>
          <w:tab w:val="clear" w:pos="840"/>
        </w:tabs>
        <w:kinsoku/>
        <w:wordWrap/>
        <w:overflowPunct/>
        <w:topLinePunct w:val="0"/>
        <w:autoSpaceDE/>
        <w:autoSpaceDN/>
        <w:bidi w:val="0"/>
        <w:adjustRightInd/>
        <w:snapToGrid w:val="0"/>
        <w:spacing w:before="72" w:after="72"/>
        <w:ind w:left="820"/>
        <w:jc w:val="both"/>
        <w:textAlignment w:val="auto"/>
        <w:rPr>
          <w:lang w:val="en-GB"/>
        </w:rPr>
      </w:pPr>
      <w:r>
        <w:rPr>
          <w:rFonts w:hint="eastAsia"/>
          <w:lang w:val="en-GB"/>
        </w:rPr>
        <w:t>Note: 3GPP has similar mechanisms specified in other WG.</w:t>
      </w:r>
    </w:p>
    <w:p>
      <w:pPr>
        <w:pStyle w:val="35"/>
        <w:keepNext w:val="0"/>
        <w:keepLines w:val="0"/>
        <w:pageBreakBefore w:val="0"/>
        <w:widowControl/>
        <w:kinsoku/>
        <w:wordWrap/>
        <w:overflowPunct/>
        <w:topLinePunct w:val="0"/>
        <w:autoSpaceDE/>
        <w:autoSpaceDN/>
        <w:bidi w:val="0"/>
        <w:adjustRightInd/>
        <w:snapToGrid w:val="0"/>
        <w:spacing w:before="72" w:after="72"/>
        <w:ind w:left="400"/>
        <w:jc w:val="both"/>
        <w:textAlignment w:val="auto"/>
        <w:rPr>
          <w:rFonts w:eastAsia="宋体"/>
          <w:kern w:val="0"/>
        </w:rPr>
      </w:pPr>
      <w:r>
        <w:rPr>
          <w:lang w:val="en-GB"/>
        </w:rPr>
        <w:t>S2: Flexible UE capability mechanism beyond model ID-based approach</w:t>
      </w:r>
      <w:r>
        <w:rPr>
          <w:rFonts w:hint="eastAsia"/>
        </w:rPr>
        <w:t xml:space="preserve"> for executing a model with unknown structure</w:t>
      </w:r>
    </w:p>
    <w:p>
      <w:pPr>
        <w:pStyle w:val="30"/>
        <w:keepNext w:val="0"/>
        <w:keepLines w:val="0"/>
        <w:pageBreakBefore w:val="0"/>
        <w:widowControl/>
        <w:kinsoku/>
        <w:wordWrap/>
        <w:overflowPunct/>
        <w:topLinePunct w:val="0"/>
        <w:autoSpaceDE/>
        <w:autoSpaceDN/>
        <w:bidi w:val="0"/>
        <w:adjustRightInd/>
        <w:snapToGrid w:val="0"/>
        <w:spacing w:before="72" w:after="72"/>
        <w:ind w:left="0" w:firstLine="0"/>
        <w:jc w:val="both"/>
        <w:textAlignment w:val="auto"/>
        <w:rPr>
          <w:lang w:val="en-US"/>
        </w:rPr>
      </w:pPr>
      <w:r>
        <w:rPr>
          <w:rFonts w:hint="eastAsia"/>
          <w:lang w:val="en-US"/>
        </w:rPr>
        <w:t xml:space="preserve">During the study item in Rel-18, RAN1 can conclude the benefits, challenges, and potential specification impacts for the model transfer and model identification. However, RAN1 cannot make decision on the feasibility and necessity to support the model transfer and model identification. </w:t>
      </w:r>
    </w:p>
    <w:p>
      <w:pPr>
        <w:pStyle w:val="30"/>
        <w:keepNext w:val="0"/>
        <w:keepLines w:val="0"/>
        <w:pageBreakBefore w:val="0"/>
        <w:widowControl/>
        <w:kinsoku/>
        <w:wordWrap/>
        <w:overflowPunct/>
        <w:topLinePunct w:val="0"/>
        <w:autoSpaceDE/>
        <w:autoSpaceDN/>
        <w:bidi w:val="0"/>
        <w:adjustRightInd/>
        <w:snapToGrid w:val="0"/>
        <w:spacing w:before="72" w:after="72"/>
        <w:ind w:left="0" w:firstLine="0"/>
        <w:jc w:val="both"/>
        <w:textAlignment w:val="auto"/>
        <w:rPr>
          <w:lang w:val="en-US"/>
        </w:rPr>
      </w:pPr>
      <w:r>
        <w:rPr>
          <w:rFonts w:hint="eastAsia"/>
          <w:lang w:val="en-US"/>
        </w:rPr>
        <w:t>The feasibility and necessity of supporting model transfer and model identification should be further assessed by RAN2/SA2 before going for normative work in RAN.</w:t>
      </w:r>
    </w:p>
    <w:p>
      <w:pPr>
        <w:spacing w:before="72" w:beforeLines="30" w:after="72" w:afterLines="30" w:line="288" w:lineRule="auto"/>
        <w:rPr>
          <w:rFonts w:eastAsia="宋体"/>
          <w:highlight w:val="yellow"/>
        </w:rPr>
      </w:pPr>
    </w:p>
    <w:p>
      <w:pPr>
        <w:pStyle w:val="2"/>
        <w:spacing w:before="72" w:beforeLines="30" w:after="72" w:afterLines="30" w:line="288" w:lineRule="auto"/>
        <w:rPr>
          <w:rFonts w:eastAsia="宋体"/>
        </w:rPr>
      </w:pPr>
      <w:r>
        <w:rPr>
          <w:rFonts w:hint="eastAsia" w:eastAsia="宋体"/>
        </w:rPr>
        <w:t>Reference</w:t>
      </w:r>
    </w:p>
    <w:p>
      <w:pPr>
        <w:pStyle w:val="37"/>
        <w:spacing w:before="72" w:beforeLines="30" w:after="72" w:afterLines="30" w:line="288" w:lineRule="auto"/>
        <w:ind w:left="363" w:hanging="363"/>
        <w:rPr>
          <w:szCs w:val="20"/>
        </w:rPr>
      </w:pPr>
      <w:bookmarkStart w:id="70" w:name="_Ref17466"/>
      <w:r>
        <w:rPr>
          <w:rFonts w:hint="eastAsia"/>
          <w:szCs w:val="20"/>
        </w:rPr>
        <w:t xml:space="preserve">RP-213599, New SI: Study on Artificial Intelligence (AI)/Machine Learning (ML) for NR Air Interface </w:t>
      </w:r>
    </w:p>
    <w:p>
      <w:pPr>
        <w:pStyle w:val="37"/>
        <w:spacing w:before="72" w:beforeLines="30" w:after="72" w:afterLines="30" w:line="288" w:lineRule="auto"/>
        <w:ind w:left="363" w:hanging="363"/>
        <w:rPr>
          <w:szCs w:val="20"/>
        </w:rPr>
      </w:pPr>
      <w:r>
        <w:rPr>
          <w:rFonts w:hint="eastAsia"/>
          <w:szCs w:val="20"/>
        </w:rPr>
        <w:t>RP-232659</w:t>
      </w:r>
      <w:r>
        <w:rPr>
          <w:rFonts w:hint="eastAsia" w:eastAsia="宋体"/>
          <w:szCs w:val="20"/>
        </w:rPr>
        <w:t xml:space="preserve">, </w:t>
      </w:r>
      <w:r>
        <w:rPr>
          <w:rFonts w:hint="eastAsia"/>
          <w:szCs w:val="20"/>
        </w:rPr>
        <w:t>Status report for SI Study on AI/ML for NR air interface; rapporteur: Qualcomm</w:t>
      </w:r>
    </w:p>
    <w:p>
      <w:pPr>
        <w:pStyle w:val="37"/>
        <w:spacing w:before="72" w:beforeLines="30" w:after="72" w:afterLines="30" w:line="288" w:lineRule="auto"/>
        <w:ind w:left="363" w:hanging="363"/>
        <w:rPr>
          <w:szCs w:val="20"/>
        </w:rPr>
      </w:pPr>
      <w:r>
        <w:rPr>
          <w:rFonts w:hint="eastAsia"/>
          <w:szCs w:val="20"/>
        </w:rPr>
        <w:t>S2-2310034</w:t>
      </w:r>
      <w:r>
        <w:rPr>
          <w:rFonts w:hint="eastAsia" w:eastAsia="宋体"/>
          <w:szCs w:val="20"/>
        </w:rPr>
        <w:t xml:space="preserve">, </w:t>
      </w:r>
      <w:r>
        <w:rPr>
          <w:rFonts w:hint="eastAsia"/>
          <w:szCs w:val="20"/>
        </w:rPr>
        <w:t>New SID on Artificial Intelligence (AI)/Machine Learning (ML) for 5GS Service to enable 5GC and Air interface Intelligence</w:t>
      </w:r>
    </w:p>
    <w:bookmarkEnd w:id="70"/>
    <w:p>
      <w:pPr>
        <w:spacing w:before="120" w:after="120"/>
      </w:pPr>
    </w:p>
    <w:sectPr>
      <w:headerReference r:id="rId5" w:type="first"/>
      <w:footerReference r:id="rId8" w:type="first"/>
      <w:footerReference r:id="rId6" w:type="default"/>
      <w:headerReference r:id="rId4" w:type="even"/>
      <w:footerReference r:id="rId7"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Sitka Text">
    <w:panose1 w:val="02000505000000020004"/>
    <w:charset w:val="00"/>
    <w:family w:val="auto"/>
    <w:pitch w:val="default"/>
    <w:sig w:usb0="A00002EF" w:usb1="4000204B" w:usb2="00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061A9B"/>
    <w:multiLevelType w:val="singleLevel"/>
    <w:tmpl w:val="82061A9B"/>
    <w:lvl w:ilvl="0" w:tentative="0">
      <w:start w:val="1"/>
      <w:numFmt w:val="bullet"/>
      <w:pStyle w:val="10"/>
      <w:lvlText w:val=""/>
      <w:lvlJc w:val="left"/>
      <w:pPr>
        <w:tabs>
          <w:tab w:val="left" w:pos="360"/>
        </w:tabs>
        <w:ind w:left="360" w:hanging="360"/>
      </w:pPr>
      <w:rPr>
        <w:rFonts w:hint="default" w:ascii="Wingdings" w:hAnsi="Wingdings"/>
      </w:rPr>
    </w:lvl>
  </w:abstractNum>
  <w:abstractNum w:abstractNumId="1">
    <w:nsid w:val="9274B329"/>
    <w:multiLevelType w:val="singleLevel"/>
    <w:tmpl w:val="9274B329"/>
    <w:lvl w:ilvl="0" w:tentative="0">
      <w:start w:val="1"/>
      <w:numFmt w:val="bullet"/>
      <w:lvlText w:val="•"/>
      <w:lvlJc w:val="left"/>
      <w:pPr>
        <w:ind w:left="420" w:hanging="420"/>
      </w:pPr>
      <w:rPr>
        <w:rFonts w:hint="default" w:ascii="Arial" w:hAnsi="Arial" w:cs="Arial"/>
      </w:rPr>
    </w:lvl>
  </w:abstractNum>
  <w:abstractNum w:abstractNumId="2">
    <w:nsid w:val="951A2302"/>
    <w:multiLevelType w:val="singleLevel"/>
    <w:tmpl w:val="951A2302"/>
    <w:lvl w:ilvl="0" w:tentative="0">
      <w:start w:val="1"/>
      <w:numFmt w:val="bullet"/>
      <w:lvlText w:val="•"/>
      <w:lvlJc w:val="left"/>
      <w:pPr>
        <w:ind w:left="420" w:hanging="420"/>
      </w:pPr>
      <w:rPr>
        <w:rFonts w:hint="default" w:ascii="Arial" w:hAnsi="Arial" w:cs="Arial"/>
      </w:rPr>
    </w:lvl>
  </w:abstractNum>
  <w:abstractNum w:abstractNumId="3">
    <w:nsid w:val="97DB802A"/>
    <w:multiLevelType w:val="multilevel"/>
    <w:tmpl w:val="97DB802A"/>
    <w:lvl w:ilvl="0" w:tentative="0">
      <w:start w:val="1"/>
      <w:numFmt w:val="bullet"/>
      <w:pStyle w:val="33"/>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4">
    <w:nsid w:val="A77CE003"/>
    <w:multiLevelType w:val="singleLevel"/>
    <w:tmpl w:val="A77CE003"/>
    <w:lvl w:ilvl="0" w:tentative="0">
      <w:start w:val="1"/>
      <w:numFmt w:val="decimal"/>
      <w:pStyle w:val="29"/>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5">
    <w:nsid w:val="D601A98A"/>
    <w:multiLevelType w:val="singleLevel"/>
    <w:tmpl w:val="D601A98A"/>
    <w:lvl w:ilvl="0" w:tentative="0">
      <w:start w:val="1"/>
      <w:numFmt w:val="bullet"/>
      <w:lvlText w:val="–"/>
      <w:lvlJc w:val="left"/>
      <w:pPr>
        <w:tabs>
          <w:tab w:val="left" w:pos="840"/>
        </w:tabs>
        <w:ind w:left="1260" w:hanging="420"/>
      </w:pPr>
      <w:rPr>
        <w:rFonts w:hint="default" w:ascii="Arial" w:hAnsi="Arial" w:cs="Arial"/>
      </w:rPr>
    </w:lvl>
  </w:abstractNum>
  <w:abstractNum w:abstractNumId="6">
    <w:nsid w:val="E590762A"/>
    <w:multiLevelType w:val="multilevel"/>
    <w:tmpl w:val="E590762A"/>
    <w:lvl w:ilvl="0" w:tentative="0">
      <w:start w:val="1"/>
      <w:numFmt w:val="decimal"/>
      <w:pStyle w:val="30"/>
      <w:lvlText w:val="Proposal %1: "/>
      <w:lvlJc w:val="left"/>
      <w:pPr>
        <w:ind w:left="0" w:firstLine="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38A582C"/>
    <w:multiLevelType w:val="multilevel"/>
    <w:tmpl w:val="138A582C"/>
    <w:lvl w:ilvl="0" w:tentative="0">
      <w:start w:val="2"/>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5307FA3"/>
    <w:multiLevelType w:val="multilevel"/>
    <w:tmpl w:val="15307F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561534D"/>
    <w:multiLevelType w:val="multilevel"/>
    <w:tmpl w:val="1561534D"/>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10">
    <w:nsid w:val="1A3228F1"/>
    <w:multiLevelType w:val="multilevel"/>
    <w:tmpl w:val="1A3228F1"/>
    <w:lvl w:ilvl="0" w:tentative="0">
      <w:start w:val="8"/>
      <w:numFmt w:val="bullet"/>
      <w:lvlText w:val="-"/>
      <w:lvlJc w:val="left"/>
      <w:pPr>
        <w:ind w:left="720" w:hanging="360"/>
      </w:pPr>
      <w:rPr>
        <w:rFonts w:hint="default" w:ascii="Calibri" w:hAnsi="Calibri" w:eastAsia="Batang"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1E25C1A0"/>
    <w:multiLevelType w:val="singleLevel"/>
    <w:tmpl w:val="1E25C1A0"/>
    <w:lvl w:ilvl="0" w:tentative="0">
      <w:start w:val="1"/>
      <w:numFmt w:val="bullet"/>
      <w:pStyle w:val="36"/>
      <w:lvlText w:val="◦"/>
      <w:lvlJc w:val="left"/>
      <w:pPr>
        <w:ind w:left="420" w:hanging="420"/>
      </w:pPr>
      <w:rPr>
        <w:rFonts w:hint="default" w:ascii="Arial" w:hAnsi="Arial" w:cs="Arial"/>
      </w:rPr>
    </w:lvl>
  </w:abstractNum>
  <w:abstractNum w:abstractNumId="12">
    <w:nsid w:val="241795E7"/>
    <w:multiLevelType w:val="multilevel"/>
    <w:tmpl w:val="241795E7"/>
    <w:lvl w:ilvl="0" w:tentative="0">
      <w:start w:val="1"/>
      <w:numFmt w:val="bullet"/>
      <w:pStyle w:val="35"/>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28544DF2"/>
    <w:multiLevelType w:val="singleLevel"/>
    <w:tmpl w:val="28544DF2"/>
    <w:lvl w:ilvl="0" w:tentative="0">
      <w:start w:val="1"/>
      <w:numFmt w:val="decimal"/>
      <w:pStyle w:val="56"/>
      <w:suff w:val="nothing"/>
      <w:lvlText w:val="Observation %1:"/>
      <w:lvlJc w:val="left"/>
      <w:pPr>
        <w:ind w:left="0" w:firstLine="403"/>
      </w:pPr>
      <w:rPr>
        <w:rFonts w:hint="default"/>
      </w:rPr>
    </w:lvl>
  </w:abstractNum>
  <w:abstractNum w:abstractNumId="14">
    <w:nsid w:val="2D234710"/>
    <w:multiLevelType w:val="multilevel"/>
    <w:tmpl w:val="2D234710"/>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
    <w:nsid w:val="347297B9"/>
    <w:multiLevelType w:val="singleLevel"/>
    <w:tmpl w:val="347297B9"/>
    <w:lvl w:ilvl="0" w:tentative="0">
      <w:start w:val="1"/>
      <w:numFmt w:val="bullet"/>
      <w:lvlText w:val="•"/>
      <w:lvlJc w:val="left"/>
      <w:pPr>
        <w:ind w:left="420" w:hanging="420"/>
      </w:pPr>
      <w:rPr>
        <w:rFonts w:hint="default" w:ascii="Arial" w:hAnsi="Arial" w:cs="Arial"/>
      </w:rPr>
    </w:lvl>
  </w:abstractNum>
  <w:abstractNum w:abstractNumId="16">
    <w:nsid w:val="34AA266D"/>
    <w:multiLevelType w:val="multilevel"/>
    <w:tmpl w:val="34AA266D"/>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373C3AEB"/>
    <w:multiLevelType w:val="multilevel"/>
    <w:tmpl w:val="373C3AEB"/>
    <w:lvl w:ilvl="0" w:tentative="0">
      <w:start w:val="1"/>
      <w:numFmt w:val="bullet"/>
      <w:lvlText w:val="-"/>
      <w:lvlJc w:val="left"/>
      <w:pPr>
        <w:ind w:left="644" w:hanging="360"/>
      </w:pPr>
      <w:rPr>
        <w:rFonts w:hint="default" w:ascii="Sitka Text" w:hAnsi="Sitka Text"/>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8">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19">
    <w:nsid w:val="3D48FCBA"/>
    <w:multiLevelType w:val="singleLevel"/>
    <w:tmpl w:val="3D48FCBA"/>
    <w:lvl w:ilvl="0" w:tentative="0">
      <w:start w:val="1"/>
      <w:numFmt w:val="bullet"/>
      <w:lvlText w:val="•"/>
      <w:lvlJc w:val="left"/>
      <w:pPr>
        <w:ind w:left="420" w:hanging="420"/>
      </w:pPr>
      <w:rPr>
        <w:rFonts w:hint="default" w:ascii="Arial" w:hAnsi="Arial" w:cs="Arial"/>
      </w:rPr>
    </w:lvl>
  </w:abstractNum>
  <w:abstractNum w:abstractNumId="20">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21">
    <w:nsid w:val="440F29E8"/>
    <w:multiLevelType w:val="multilevel"/>
    <w:tmpl w:val="440F29E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4AFFD851"/>
    <w:multiLevelType w:val="multilevel"/>
    <w:tmpl w:val="4AFFD851"/>
    <w:lvl w:ilvl="0" w:tentative="0">
      <w:start w:val="1"/>
      <w:numFmt w:val="bullet"/>
      <w:lvlText w:val="▫"/>
      <w:lvlJc w:val="left"/>
      <w:pPr>
        <w:tabs>
          <w:tab w:val="left" w:pos="420"/>
        </w:tabs>
        <w:ind w:left="840" w:hanging="420"/>
      </w:pPr>
      <w:rPr>
        <w:rFonts w:hint="default" w:ascii="Arial" w:hAnsi="Arial" w:cs="Arial"/>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23">
    <w:nsid w:val="54713D2C"/>
    <w:multiLevelType w:val="singleLevel"/>
    <w:tmpl w:val="54713D2C"/>
    <w:lvl w:ilvl="0" w:tentative="0">
      <w:start w:val="1"/>
      <w:numFmt w:val="bullet"/>
      <w:pStyle w:val="34"/>
      <w:lvlText w:val="•"/>
      <w:lvlJc w:val="left"/>
      <w:pPr>
        <w:ind w:left="420" w:hanging="420"/>
      </w:pPr>
      <w:rPr>
        <w:rFonts w:hint="default" w:ascii="Arial" w:hAnsi="Arial" w:cs="Arial"/>
      </w:rPr>
    </w:lvl>
  </w:abstractNum>
  <w:abstractNum w:abstractNumId="24">
    <w:nsid w:val="600B4ADE"/>
    <w:multiLevelType w:val="multilevel"/>
    <w:tmpl w:val="600B4ADE"/>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5">
    <w:nsid w:val="70110F9F"/>
    <w:multiLevelType w:val="multilevel"/>
    <w:tmpl w:val="70110F9F"/>
    <w:lvl w:ilvl="0" w:tentative="0">
      <w:start w:val="1"/>
      <w:numFmt w:val="decimal"/>
      <w:pStyle w:val="32"/>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26">
    <w:nsid w:val="70146DC0"/>
    <w:multiLevelType w:val="multilevel"/>
    <w:tmpl w:val="70146DC0"/>
    <w:lvl w:ilvl="0" w:tentative="0">
      <w:start w:val="1"/>
      <w:numFmt w:val="bullet"/>
      <w:pStyle w:val="57"/>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27">
    <w:nsid w:val="7DFA2902"/>
    <w:multiLevelType w:val="multilevel"/>
    <w:tmpl w:val="7DFA2902"/>
    <w:lvl w:ilvl="0" w:tentative="0">
      <w:start w:val="0"/>
      <w:numFmt w:val="bullet"/>
      <w:lvlText w:val="-"/>
      <w:lvlJc w:val="left"/>
      <w:pPr>
        <w:ind w:left="833" w:hanging="360"/>
      </w:pPr>
      <w:rPr>
        <w:rFonts w:hint="default" w:ascii="Times New Roman" w:hAnsi="Times New Roman" w:eastAsia="MS Mincho" w:cs="Times New Roman"/>
      </w:rPr>
    </w:lvl>
    <w:lvl w:ilvl="1" w:tentative="0">
      <w:start w:val="1"/>
      <w:numFmt w:val="bullet"/>
      <w:lvlText w:val="o"/>
      <w:lvlJc w:val="left"/>
      <w:pPr>
        <w:ind w:left="1553" w:hanging="360"/>
      </w:pPr>
      <w:rPr>
        <w:rFonts w:hint="default" w:ascii="Courier New" w:hAnsi="Courier New" w:cs="Courier New"/>
      </w:rPr>
    </w:lvl>
    <w:lvl w:ilvl="2" w:tentative="0">
      <w:start w:val="1"/>
      <w:numFmt w:val="bullet"/>
      <w:lvlText w:val=""/>
      <w:lvlJc w:val="left"/>
      <w:pPr>
        <w:ind w:left="2273" w:hanging="360"/>
      </w:pPr>
      <w:rPr>
        <w:rFonts w:hint="default" w:ascii="Wingdings" w:hAnsi="Wingdings"/>
      </w:rPr>
    </w:lvl>
    <w:lvl w:ilvl="3" w:tentative="0">
      <w:start w:val="1"/>
      <w:numFmt w:val="bullet"/>
      <w:lvlText w:val=""/>
      <w:lvlJc w:val="left"/>
      <w:pPr>
        <w:ind w:left="2993" w:hanging="360"/>
      </w:pPr>
      <w:rPr>
        <w:rFonts w:hint="default" w:ascii="Symbol" w:hAnsi="Symbol"/>
      </w:rPr>
    </w:lvl>
    <w:lvl w:ilvl="4" w:tentative="0">
      <w:start w:val="1"/>
      <w:numFmt w:val="bullet"/>
      <w:lvlText w:val="o"/>
      <w:lvlJc w:val="left"/>
      <w:pPr>
        <w:ind w:left="3713" w:hanging="360"/>
      </w:pPr>
      <w:rPr>
        <w:rFonts w:hint="default" w:ascii="Courier New" w:hAnsi="Courier New" w:cs="Courier New"/>
      </w:rPr>
    </w:lvl>
    <w:lvl w:ilvl="5" w:tentative="0">
      <w:start w:val="1"/>
      <w:numFmt w:val="bullet"/>
      <w:lvlText w:val=""/>
      <w:lvlJc w:val="left"/>
      <w:pPr>
        <w:ind w:left="4433" w:hanging="360"/>
      </w:pPr>
      <w:rPr>
        <w:rFonts w:hint="default" w:ascii="Wingdings" w:hAnsi="Wingdings"/>
      </w:rPr>
    </w:lvl>
    <w:lvl w:ilvl="6" w:tentative="0">
      <w:start w:val="1"/>
      <w:numFmt w:val="bullet"/>
      <w:lvlText w:val=""/>
      <w:lvlJc w:val="left"/>
      <w:pPr>
        <w:ind w:left="5153" w:hanging="360"/>
      </w:pPr>
      <w:rPr>
        <w:rFonts w:hint="default" w:ascii="Symbol" w:hAnsi="Symbol"/>
      </w:rPr>
    </w:lvl>
    <w:lvl w:ilvl="7" w:tentative="0">
      <w:start w:val="1"/>
      <w:numFmt w:val="bullet"/>
      <w:lvlText w:val="o"/>
      <w:lvlJc w:val="left"/>
      <w:pPr>
        <w:ind w:left="5873" w:hanging="360"/>
      </w:pPr>
      <w:rPr>
        <w:rFonts w:hint="default" w:ascii="Courier New" w:hAnsi="Courier New" w:cs="Courier New"/>
      </w:rPr>
    </w:lvl>
    <w:lvl w:ilvl="8" w:tentative="0">
      <w:start w:val="1"/>
      <w:numFmt w:val="bullet"/>
      <w:lvlText w:val=""/>
      <w:lvlJc w:val="left"/>
      <w:pPr>
        <w:ind w:left="6593" w:hanging="360"/>
      </w:pPr>
      <w:rPr>
        <w:rFonts w:hint="default" w:ascii="Wingdings" w:hAnsi="Wingdings"/>
      </w:rPr>
    </w:lvl>
  </w:abstractNum>
  <w:abstractNum w:abstractNumId="28">
    <w:nsid w:val="7E1A6C64"/>
    <w:multiLevelType w:val="multilevel"/>
    <w:tmpl w:val="7E1A6C6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0"/>
  </w:num>
  <w:num w:numId="2">
    <w:abstractNumId w:val="0"/>
  </w:num>
  <w:num w:numId="3">
    <w:abstractNumId w:val="4"/>
  </w:num>
  <w:num w:numId="4">
    <w:abstractNumId w:val="6"/>
  </w:num>
  <w:num w:numId="5">
    <w:abstractNumId w:val="25"/>
  </w:num>
  <w:num w:numId="6">
    <w:abstractNumId w:val="3"/>
  </w:num>
  <w:num w:numId="7">
    <w:abstractNumId w:val="23"/>
  </w:num>
  <w:num w:numId="8">
    <w:abstractNumId w:val="12"/>
  </w:num>
  <w:num w:numId="9">
    <w:abstractNumId w:val="11"/>
  </w:num>
  <w:num w:numId="10">
    <w:abstractNumId w:val="18"/>
  </w:num>
  <w:num w:numId="11">
    <w:abstractNumId w:val="13"/>
  </w:num>
  <w:num w:numId="12">
    <w:abstractNumId w:val="26"/>
  </w:num>
  <w:num w:numId="13">
    <w:abstractNumId w:val="7"/>
  </w:num>
  <w:num w:numId="14">
    <w:abstractNumId w:val="19"/>
  </w:num>
  <w:num w:numId="15">
    <w:abstractNumId w:val="27"/>
  </w:num>
  <w:num w:numId="16">
    <w:abstractNumId w:val="16"/>
  </w:num>
  <w:num w:numId="17">
    <w:abstractNumId w:val="28"/>
  </w:num>
  <w:num w:numId="18">
    <w:abstractNumId w:val="15"/>
  </w:num>
  <w:num w:numId="19">
    <w:abstractNumId w:val="22"/>
  </w:num>
  <w:num w:numId="20">
    <w:abstractNumId w:val="9"/>
  </w:num>
  <w:num w:numId="21">
    <w:abstractNumId w:val="8"/>
  </w:num>
  <w:num w:numId="22">
    <w:abstractNumId w:val="24"/>
  </w:num>
  <w:num w:numId="23">
    <w:abstractNumId w:val="14"/>
  </w:num>
  <w:num w:numId="24">
    <w:abstractNumId w:val="21"/>
  </w:num>
  <w:num w:numId="25">
    <w:abstractNumId w:val="10"/>
  </w:num>
  <w:num w:numId="26">
    <w:abstractNumId w:val="1"/>
  </w:num>
  <w:num w:numId="27">
    <w:abstractNumId w:val="5"/>
  </w:num>
  <w:num w:numId="28">
    <w:abstractNumId w:val="2"/>
  </w:num>
  <w:num w:numId="29">
    <w:abstractNumId w:val="17"/>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0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44B96"/>
    <w:rsid w:val="00053593"/>
    <w:rsid w:val="0006755C"/>
    <w:rsid w:val="000829B2"/>
    <w:rsid w:val="000B1599"/>
    <w:rsid w:val="000B2C1E"/>
    <w:rsid w:val="000D65FC"/>
    <w:rsid w:val="00171C2E"/>
    <w:rsid w:val="00172A27"/>
    <w:rsid w:val="001768FE"/>
    <w:rsid w:val="00187321"/>
    <w:rsid w:val="00193046"/>
    <w:rsid w:val="001A2BEB"/>
    <w:rsid w:val="001B502E"/>
    <w:rsid w:val="001F2DE0"/>
    <w:rsid w:val="002102D6"/>
    <w:rsid w:val="002376AE"/>
    <w:rsid w:val="00283AC3"/>
    <w:rsid w:val="002B3874"/>
    <w:rsid w:val="002C0735"/>
    <w:rsid w:val="002C4E0C"/>
    <w:rsid w:val="002E478D"/>
    <w:rsid w:val="002E5E77"/>
    <w:rsid w:val="00301063"/>
    <w:rsid w:val="003161BA"/>
    <w:rsid w:val="00324214"/>
    <w:rsid w:val="00335993"/>
    <w:rsid w:val="00355768"/>
    <w:rsid w:val="00376B17"/>
    <w:rsid w:val="00385770"/>
    <w:rsid w:val="00395F21"/>
    <w:rsid w:val="003A6BA5"/>
    <w:rsid w:val="003A6D59"/>
    <w:rsid w:val="003C0B54"/>
    <w:rsid w:val="003D001B"/>
    <w:rsid w:val="003D17AE"/>
    <w:rsid w:val="00404DA5"/>
    <w:rsid w:val="004100E3"/>
    <w:rsid w:val="00422D64"/>
    <w:rsid w:val="004304ED"/>
    <w:rsid w:val="004479DB"/>
    <w:rsid w:val="00475B67"/>
    <w:rsid w:val="004E14F3"/>
    <w:rsid w:val="00525E65"/>
    <w:rsid w:val="005317CA"/>
    <w:rsid w:val="00534212"/>
    <w:rsid w:val="00542DFA"/>
    <w:rsid w:val="00572097"/>
    <w:rsid w:val="0057368E"/>
    <w:rsid w:val="00580813"/>
    <w:rsid w:val="0059672B"/>
    <w:rsid w:val="005A0176"/>
    <w:rsid w:val="005B065E"/>
    <w:rsid w:val="005F7B99"/>
    <w:rsid w:val="006144B4"/>
    <w:rsid w:val="00630BC2"/>
    <w:rsid w:val="00635C38"/>
    <w:rsid w:val="006807E6"/>
    <w:rsid w:val="006F26CE"/>
    <w:rsid w:val="00724E53"/>
    <w:rsid w:val="007D09B0"/>
    <w:rsid w:val="007E783F"/>
    <w:rsid w:val="007E7A15"/>
    <w:rsid w:val="00820E09"/>
    <w:rsid w:val="008212F1"/>
    <w:rsid w:val="0086109C"/>
    <w:rsid w:val="00885FE5"/>
    <w:rsid w:val="00890F3B"/>
    <w:rsid w:val="008B5FA9"/>
    <w:rsid w:val="008F30BC"/>
    <w:rsid w:val="008F3CF6"/>
    <w:rsid w:val="009141DD"/>
    <w:rsid w:val="009401EC"/>
    <w:rsid w:val="00940EE1"/>
    <w:rsid w:val="00945B44"/>
    <w:rsid w:val="00954A8B"/>
    <w:rsid w:val="0096044C"/>
    <w:rsid w:val="009A700E"/>
    <w:rsid w:val="009A704B"/>
    <w:rsid w:val="009D3B70"/>
    <w:rsid w:val="009F756D"/>
    <w:rsid w:val="00A137A4"/>
    <w:rsid w:val="00A25CEE"/>
    <w:rsid w:val="00A37B97"/>
    <w:rsid w:val="00A40102"/>
    <w:rsid w:val="00A41C84"/>
    <w:rsid w:val="00A50086"/>
    <w:rsid w:val="00A5717C"/>
    <w:rsid w:val="00A711B8"/>
    <w:rsid w:val="00A71CFF"/>
    <w:rsid w:val="00A777FD"/>
    <w:rsid w:val="00A9766A"/>
    <w:rsid w:val="00AB67B2"/>
    <w:rsid w:val="00AC4CB5"/>
    <w:rsid w:val="00AD3170"/>
    <w:rsid w:val="00AD6794"/>
    <w:rsid w:val="00AE0D6E"/>
    <w:rsid w:val="00B03CE5"/>
    <w:rsid w:val="00B056D9"/>
    <w:rsid w:val="00B14503"/>
    <w:rsid w:val="00B23BAD"/>
    <w:rsid w:val="00B3587B"/>
    <w:rsid w:val="00B428B5"/>
    <w:rsid w:val="00B66CB1"/>
    <w:rsid w:val="00B764C8"/>
    <w:rsid w:val="00BB0B7F"/>
    <w:rsid w:val="00BB6518"/>
    <w:rsid w:val="00C06A8E"/>
    <w:rsid w:val="00C6294E"/>
    <w:rsid w:val="00CA0FB7"/>
    <w:rsid w:val="00CB6631"/>
    <w:rsid w:val="00CE2B6B"/>
    <w:rsid w:val="00CE7D5F"/>
    <w:rsid w:val="00D10F8A"/>
    <w:rsid w:val="00D20EC2"/>
    <w:rsid w:val="00D316E9"/>
    <w:rsid w:val="00D35B96"/>
    <w:rsid w:val="00D44606"/>
    <w:rsid w:val="00D71DA7"/>
    <w:rsid w:val="00D72774"/>
    <w:rsid w:val="00D83525"/>
    <w:rsid w:val="00D85113"/>
    <w:rsid w:val="00DA7FC2"/>
    <w:rsid w:val="00DD5091"/>
    <w:rsid w:val="00DE79EC"/>
    <w:rsid w:val="00DF0709"/>
    <w:rsid w:val="00DF75DB"/>
    <w:rsid w:val="00E35DE6"/>
    <w:rsid w:val="00E479BD"/>
    <w:rsid w:val="00E74F94"/>
    <w:rsid w:val="00EA2F70"/>
    <w:rsid w:val="00EA5E9B"/>
    <w:rsid w:val="00EB7B8C"/>
    <w:rsid w:val="00ED76AA"/>
    <w:rsid w:val="00EE5F9D"/>
    <w:rsid w:val="00EF1FBA"/>
    <w:rsid w:val="00F509E9"/>
    <w:rsid w:val="00F65BA8"/>
    <w:rsid w:val="00FB16C7"/>
    <w:rsid w:val="00FC6E1D"/>
    <w:rsid w:val="00FD2DE4"/>
    <w:rsid w:val="00FE287B"/>
    <w:rsid w:val="00FE3A28"/>
    <w:rsid w:val="00FF38B8"/>
    <w:rsid w:val="01256EF0"/>
    <w:rsid w:val="0160784B"/>
    <w:rsid w:val="01764F01"/>
    <w:rsid w:val="020F66B2"/>
    <w:rsid w:val="024D6B6A"/>
    <w:rsid w:val="02506798"/>
    <w:rsid w:val="02623253"/>
    <w:rsid w:val="027274C0"/>
    <w:rsid w:val="02746CA8"/>
    <w:rsid w:val="029010D5"/>
    <w:rsid w:val="029B04E7"/>
    <w:rsid w:val="02D53ECA"/>
    <w:rsid w:val="03072F19"/>
    <w:rsid w:val="03073BDC"/>
    <w:rsid w:val="030C5976"/>
    <w:rsid w:val="03146EE6"/>
    <w:rsid w:val="033F44DC"/>
    <w:rsid w:val="0381701C"/>
    <w:rsid w:val="043168B5"/>
    <w:rsid w:val="04DA33A7"/>
    <w:rsid w:val="0555228E"/>
    <w:rsid w:val="057D6C1A"/>
    <w:rsid w:val="059D1E39"/>
    <w:rsid w:val="05E078B3"/>
    <w:rsid w:val="05F656E9"/>
    <w:rsid w:val="06533D31"/>
    <w:rsid w:val="072B4459"/>
    <w:rsid w:val="075073CB"/>
    <w:rsid w:val="077D0583"/>
    <w:rsid w:val="077F4E42"/>
    <w:rsid w:val="079724D0"/>
    <w:rsid w:val="07A82C55"/>
    <w:rsid w:val="082A352F"/>
    <w:rsid w:val="083E3395"/>
    <w:rsid w:val="084D7D75"/>
    <w:rsid w:val="08515AB3"/>
    <w:rsid w:val="085310AF"/>
    <w:rsid w:val="08C349D1"/>
    <w:rsid w:val="08FD1F99"/>
    <w:rsid w:val="095C4FB4"/>
    <w:rsid w:val="09F67CD5"/>
    <w:rsid w:val="0A5B7049"/>
    <w:rsid w:val="0A9724B3"/>
    <w:rsid w:val="0AC167FE"/>
    <w:rsid w:val="0B584155"/>
    <w:rsid w:val="0B9E71DF"/>
    <w:rsid w:val="0BEC1345"/>
    <w:rsid w:val="0C9D30C2"/>
    <w:rsid w:val="0D2242B0"/>
    <w:rsid w:val="0D9D65F4"/>
    <w:rsid w:val="0DE91C8A"/>
    <w:rsid w:val="0E172BD0"/>
    <w:rsid w:val="0E9571FB"/>
    <w:rsid w:val="0EDF02B5"/>
    <w:rsid w:val="0F1D18ED"/>
    <w:rsid w:val="0F7716EA"/>
    <w:rsid w:val="100D6188"/>
    <w:rsid w:val="10505D93"/>
    <w:rsid w:val="106D269D"/>
    <w:rsid w:val="10936355"/>
    <w:rsid w:val="10A50104"/>
    <w:rsid w:val="10EE34A2"/>
    <w:rsid w:val="1128227E"/>
    <w:rsid w:val="113779E5"/>
    <w:rsid w:val="115B3410"/>
    <w:rsid w:val="11802B53"/>
    <w:rsid w:val="119D7849"/>
    <w:rsid w:val="12216F20"/>
    <w:rsid w:val="1242135C"/>
    <w:rsid w:val="13A1683F"/>
    <w:rsid w:val="14960C8D"/>
    <w:rsid w:val="14DA3DA1"/>
    <w:rsid w:val="151E2C73"/>
    <w:rsid w:val="152D3980"/>
    <w:rsid w:val="15CD7091"/>
    <w:rsid w:val="16354286"/>
    <w:rsid w:val="17155857"/>
    <w:rsid w:val="17950508"/>
    <w:rsid w:val="17AD7BB9"/>
    <w:rsid w:val="17C01C99"/>
    <w:rsid w:val="180B7D61"/>
    <w:rsid w:val="18677125"/>
    <w:rsid w:val="18B4714D"/>
    <w:rsid w:val="19010C43"/>
    <w:rsid w:val="19084C73"/>
    <w:rsid w:val="194239FF"/>
    <w:rsid w:val="19A23D70"/>
    <w:rsid w:val="19E51863"/>
    <w:rsid w:val="1A0470F6"/>
    <w:rsid w:val="1A054259"/>
    <w:rsid w:val="1A273CC1"/>
    <w:rsid w:val="1A9A08B1"/>
    <w:rsid w:val="1AA20BEC"/>
    <w:rsid w:val="1AB2681F"/>
    <w:rsid w:val="1B691856"/>
    <w:rsid w:val="1B6A73D5"/>
    <w:rsid w:val="1B7168D1"/>
    <w:rsid w:val="1B75702F"/>
    <w:rsid w:val="1B7A36A9"/>
    <w:rsid w:val="1B7F6005"/>
    <w:rsid w:val="1B9D73EE"/>
    <w:rsid w:val="1BE46CB3"/>
    <w:rsid w:val="1C132CB9"/>
    <w:rsid w:val="1C1F3444"/>
    <w:rsid w:val="1CC74CF5"/>
    <w:rsid w:val="1CCC26CA"/>
    <w:rsid w:val="1CE76586"/>
    <w:rsid w:val="1DB40862"/>
    <w:rsid w:val="1E056606"/>
    <w:rsid w:val="1E7A1BD5"/>
    <w:rsid w:val="1E9D6342"/>
    <w:rsid w:val="1EAE7285"/>
    <w:rsid w:val="1EBD2365"/>
    <w:rsid w:val="1EC1716C"/>
    <w:rsid w:val="1ECA5C70"/>
    <w:rsid w:val="1ECB1807"/>
    <w:rsid w:val="1F773FE7"/>
    <w:rsid w:val="1FF82C18"/>
    <w:rsid w:val="204E6676"/>
    <w:rsid w:val="20766689"/>
    <w:rsid w:val="20844722"/>
    <w:rsid w:val="208E51E3"/>
    <w:rsid w:val="214F70E4"/>
    <w:rsid w:val="2195668B"/>
    <w:rsid w:val="21962F88"/>
    <w:rsid w:val="21BE5AD4"/>
    <w:rsid w:val="21CA1BB1"/>
    <w:rsid w:val="21F128CC"/>
    <w:rsid w:val="23081A49"/>
    <w:rsid w:val="23156A1D"/>
    <w:rsid w:val="2334383D"/>
    <w:rsid w:val="237900C9"/>
    <w:rsid w:val="23B369D5"/>
    <w:rsid w:val="23C15D2D"/>
    <w:rsid w:val="23CE335E"/>
    <w:rsid w:val="240D07EC"/>
    <w:rsid w:val="242C1521"/>
    <w:rsid w:val="243E205B"/>
    <w:rsid w:val="245C52F8"/>
    <w:rsid w:val="245F0637"/>
    <w:rsid w:val="2463385E"/>
    <w:rsid w:val="250D568B"/>
    <w:rsid w:val="25134332"/>
    <w:rsid w:val="255E1A48"/>
    <w:rsid w:val="257E508F"/>
    <w:rsid w:val="261C3EB7"/>
    <w:rsid w:val="26B75978"/>
    <w:rsid w:val="26BF5712"/>
    <w:rsid w:val="270011DC"/>
    <w:rsid w:val="27236D0D"/>
    <w:rsid w:val="27AB7429"/>
    <w:rsid w:val="281C2C78"/>
    <w:rsid w:val="28416E7E"/>
    <w:rsid w:val="285C053E"/>
    <w:rsid w:val="288E310D"/>
    <w:rsid w:val="293351FB"/>
    <w:rsid w:val="2956592F"/>
    <w:rsid w:val="29FA7F26"/>
    <w:rsid w:val="2A017920"/>
    <w:rsid w:val="2A0F29F0"/>
    <w:rsid w:val="2A374081"/>
    <w:rsid w:val="2A5F0C68"/>
    <w:rsid w:val="2B344E97"/>
    <w:rsid w:val="2B774832"/>
    <w:rsid w:val="2BD23509"/>
    <w:rsid w:val="2C3E7B79"/>
    <w:rsid w:val="2C7832C8"/>
    <w:rsid w:val="2C946521"/>
    <w:rsid w:val="2CDE11E4"/>
    <w:rsid w:val="2D364957"/>
    <w:rsid w:val="2DFD1AEF"/>
    <w:rsid w:val="2E7D7E4D"/>
    <w:rsid w:val="2F1251F2"/>
    <w:rsid w:val="2FD34987"/>
    <w:rsid w:val="2FEC34B1"/>
    <w:rsid w:val="30962F3E"/>
    <w:rsid w:val="30C35E81"/>
    <w:rsid w:val="30D17E68"/>
    <w:rsid w:val="30FF2795"/>
    <w:rsid w:val="3283370E"/>
    <w:rsid w:val="329A6ACE"/>
    <w:rsid w:val="33607071"/>
    <w:rsid w:val="338D7587"/>
    <w:rsid w:val="33D93538"/>
    <w:rsid w:val="359547E0"/>
    <w:rsid w:val="35B40129"/>
    <w:rsid w:val="35EB3B29"/>
    <w:rsid w:val="360B1D73"/>
    <w:rsid w:val="361F3323"/>
    <w:rsid w:val="36A04581"/>
    <w:rsid w:val="36B71427"/>
    <w:rsid w:val="36DF10E9"/>
    <w:rsid w:val="36E93760"/>
    <w:rsid w:val="37305077"/>
    <w:rsid w:val="37453535"/>
    <w:rsid w:val="377E620D"/>
    <w:rsid w:val="3784394E"/>
    <w:rsid w:val="37AF4D53"/>
    <w:rsid w:val="382471DB"/>
    <w:rsid w:val="38AE3BB0"/>
    <w:rsid w:val="3923463F"/>
    <w:rsid w:val="3A433C7F"/>
    <w:rsid w:val="3AAF56A0"/>
    <w:rsid w:val="3AC71DA2"/>
    <w:rsid w:val="3ACB5746"/>
    <w:rsid w:val="3AE17D67"/>
    <w:rsid w:val="3AFC11E0"/>
    <w:rsid w:val="3B1A235A"/>
    <w:rsid w:val="3B403ECA"/>
    <w:rsid w:val="3B4211D6"/>
    <w:rsid w:val="3B4C582C"/>
    <w:rsid w:val="3BB0558C"/>
    <w:rsid w:val="3BB20883"/>
    <w:rsid w:val="3C0E1FB8"/>
    <w:rsid w:val="3C935077"/>
    <w:rsid w:val="3CCC3EC3"/>
    <w:rsid w:val="3CD06756"/>
    <w:rsid w:val="3D1345F3"/>
    <w:rsid w:val="3D223AA7"/>
    <w:rsid w:val="3DA8275C"/>
    <w:rsid w:val="3DE43AD5"/>
    <w:rsid w:val="3DF328BF"/>
    <w:rsid w:val="3E1F470A"/>
    <w:rsid w:val="3E360C4E"/>
    <w:rsid w:val="3E441C7D"/>
    <w:rsid w:val="3F531A51"/>
    <w:rsid w:val="3F7578F1"/>
    <w:rsid w:val="3F792164"/>
    <w:rsid w:val="3F851AC5"/>
    <w:rsid w:val="3FC956FF"/>
    <w:rsid w:val="40711332"/>
    <w:rsid w:val="408C57D5"/>
    <w:rsid w:val="40A36A71"/>
    <w:rsid w:val="410E4736"/>
    <w:rsid w:val="413C5D16"/>
    <w:rsid w:val="413C7D84"/>
    <w:rsid w:val="414E778D"/>
    <w:rsid w:val="41764E80"/>
    <w:rsid w:val="41D3631F"/>
    <w:rsid w:val="41F466FD"/>
    <w:rsid w:val="42277B6B"/>
    <w:rsid w:val="423815B7"/>
    <w:rsid w:val="42A67A24"/>
    <w:rsid w:val="42D846B9"/>
    <w:rsid w:val="430D7A82"/>
    <w:rsid w:val="438D16CB"/>
    <w:rsid w:val="43A55B32"/>
    <w:rsid w:val="43D73993"/>
    <w:rsid w:val="440D5045"/>
    <w:rsid w:val="44173BF9"/>
    <w:rsid w:val="44416E39"/>
    <w:rsid w:val="44613B62"/>
    <w:rsid w:val="44AF2219"/>
    <w:rsid w:val="44F3408E"/>
    <w:rsid w:val="4515300D"/>
    <w:rsid w:val="455B0E88"/>
    <w:rsid w:val="45BE6191"/>
    <w:rsid w:val="45F4123C"/>
    <w:rsid w:val="460C5979"/>
    <w:rsid w:val="47412B37"/>
    <w:rsid w:val="475E782E"/>
    <w:rsid w:val="476F0FC5"/>
    <w:rsid w:val="47B41A3C"/>
    <w:rsid w:val="47C01792"/>
    <w:rsid w:val="48073D61"/>
    <w:rsid w:val="4808150F"/>
    <w:rsid w:val="48107720"/>
    <w:rsid w:val="483B65F5"/>
    <w:rsid w:val="483D1C45"/>
    <w:rsid w:val="486D0B78"/>
    <w:rsid w:val="49073F06"/>
    <w:rsid w:val="49623F97"/>
    <w:rsid w:val="499C759E"/>
    <w:rsid w:val="49AD1BEA"/>
    <w:rsid w:val="49BC4BE1"/>
    <w:rsid w:val="49C74315"/>
    <w:rsid w:val="49E9233D"/>
    <w:rsid w:val="49EA46CB"/>
    <w:rsid w:val="4A2B42BD"/>
    <w:rsid w:val="4A42266B"/>
    <w:rsid w:val="4A544919"/>
    <w:rsid w:val="4AAD1944"/>
    <w:rsid w:val="4AC31003"/>
    <w:rsid w:val="4AE93159"/>
    <w:rsid w:val="4B28179F"/>
    <w:rsid w:val="4B5C4413"/>
    <w:rsid w:val="4B844A0A"/>
    <w:rsid w:val="4BD0339A"/>
    <w:rsid w:val="4BEF0F37"/>
    <w:rsid w:val="4D19690C"/>
    <w:rsid w:val="4D462159"/>
    <w:rsid w:val="4D5C5FAC"/>
    <w:rsid w:val="4D5D5B6B"/>
    <w:rsid w:val="4D672FD1"/>
    <w:rsid w:val="4DC605B6"/>
    <w:rsid w:val="4DEC0985"/>
    <w:rsid w:val="4E27683A"/>
    <w:rsid w:val="4F1A715B"/>
    <w:rsid w:val="4F2765B1"/>
    <w:rsid w:val="4F285975"/>
    <w:rsid w:val="4F35754D"/>
    <w:rsid w:val="4F672A37"/>
    <w:rsid w:val="4F7409E6"/>
    <w:rsid w:val="504B4F45"/>
    <w:rsid w:val="50536F19"/>
    <w:rsid w:val="5068467F"/>
    <w:rsid w:val="50A6728F"/>
    <w:rsid w:val="50B10CF4"/>
    <w:rsid w:val="50DD1BD1"/>
    <w:rsid w:val="516721CB"/>
    <w:rsid w:val="517432A2"/>
    <w:rsid w:val="51796EDE"/>
    <w:rsid w:val="51867298"/>
    <w:rsid w:val="51A22A8D"/>
    <w:rsid w:val="51AC0F10"/>
    <w:rsid w:val="52195EDF"/>
    <w:rsid w:val="52313387"/>
    <w:rsid w:val="5283747E"/>
    <w:rsid w:val="529F0593"/>
    <w:rsid w:val="52B05355"/>
    <w:rsid w:val="52B162A9"/>
    <w:rsid w:val="52C104ED"/>
    <w:rsid w:val="52E04D27"/>
    <w:rsid w:val="539A390F"/>
    <w:rsid w:val="53C62000"/>
    <w:rsid w:val="53CF14EE"/>
    <w:rsid w:val="53DB3477"/>
    <w:rsid w:val="54AF6B42"/>
    <w:rsid w:val="54D03EBE"/>
    <w:rsid w:val="54E86AFF"/>
    <w:rsid w:val="55D43E92"/>
    <w:rsid w:val="55DD6F2A"/>
    <w:rsid w:val="55E52812"/>
    <w:rsid w:val="55F15EA2"/>
    <w:rsid w:val="560E3399"/>
    <w:rsid w:val="5674038B"/>
    <w:rsid w:val="56CB51AC"/>
    <w:rsid w:val="56D02A7B"/>
    <w:rsid w:val="56E23970"/>
    <w:rsid w:val="56FE2FE7"/>
    <w:rsid w:val="57155486"/>
    <w:rsid w:val="57773B00"/>
    <w:rsid w:val="577A3C7D"/>
    <w:rsid w:val="578F220A"/>
    <w:rsid w:val="57FC07D9"/>
    <w:rsid w:val="58500F22"/>
    <w:rsid w:val="58B01CD1"/>
    <w:rsid w:val="591C0009"/>
    <w:rsid w:val="59772C15"/>
    <w:rsid w:val="59D535B3"/>
    <w:rsid w:val="5A256629"/>
    <w:rsid w:val="5A515234"/>
    <w:rsid w:val="5A683F99"/>
    <w:rsid w:val="5A7C7F4E"/>
    <w:rsid w:val="5ACF0F3A"/>
    <w:rsid w:val="5B3917E9"/>
    <w:rsid w:val="5B455E49"/>
    <w:rsid w:val="5BB67528"/>
    <w:rsid w:val="5BB70F2F"/>
    <w:rsid w:val="5BBF7268"/>
    <w:rsid w:val="5BED6C94"/>
    <w:rsid w:val="5C596E4A"/>
    <w:rsid w:val="5C6B1600"/>
    <w:rsid w:val="5C766F71"/>
    <w:rsid w:val="5C921AD0"/>
    <w:rsid w:val="5DB91C49"/>
    <w:rsid w:val="5DFD51DB"/>
    <w:rsid w:val="5E0D36E5"/>
    <w:rsid w:val="5E361F8A"/>
    <w:rsid w:val="5E7F7360"/>
    <w:rsid w:val="5EA53178"/>
    <w:rsid w:val="5EB903DA"/>
    <w:rsid w:val="5F0F562E"/>
    <w:rsid w:val="5F501BDB"/>
    <w:rsid w:val="5FF53D41"/>
    <w:rsid w:val="5FF54728"/>
    <w:rsid w:val="60140907"/>
    <w:rsid w:val="60642278"/>
    <w:rsid w:val="607C3753"/>
    <w:rsid w:val="60963C18"/>
    <w:rsid w:val="60C30855"/>
    <w:rsid w:val="61421EFD"/>
    <w:rsid w:val="615C5041"/>
    <w:rsid w:val="61C736BE"/>
    <w:rsid w:val="63372785"/>
    <w:rsid w:val="637F56FA"/>
    <w:rsid w:val="644E5218"/>
    <w:rsid w:val="64934878"/>
    <w:rsid w:val="64DA1397"/>
    <w:rsid w:val="652E7E98"/>
    <w:rsid w:val="65907646"/>
    <w:rsid w:val="65967AC8"/>
    <w:rsid w:val="660714CD"/>
    <w:rsid w:val="664805B8"/>
    <w:rsid w:val="66907CC1"/>
    <w:rsid w:val="67291244"/>
    <w:rsid w:val="672F1DCA"/>
    <w:rsid w:val="678054E2"/>
    <w:rsid w:val="67CD63BE"/>
    <w:rsid w:val="67DC4EF5"/>
    <w:rsid w:val="67EC7147"/>
    <w:rsid w:val="683B11D2"/>
    <w:rsid w:val="689736DC"/>
    <w:rsid w:val="68A039EF"/>
    <w:rsid w:val="68CA4B1F"/>
    <w:rsid w:val="68CB171E"/>
    <w:rsid w:val="690F418B"/>
    <w:rsid w:val="699E284E"/>
    <w:rsid w:val="69A566D2"/>
    <w:rsid w:val="69FA4CD5"/>
    <w:rsid w:val="69FB7936"/>
    <w:rsid w:val="6A154B1E"/>
    <w:rsid w:val="6A73734B"/>
    <w:rsid w:val="6A7A2736"/>
    <w:rsid w:val="6A7B4B9C"/>
    <w:rsid w:val="6A9A0186"/>
    <w:rsid w:val="6AA3551C"/>
    <w:rsid w:val="6B0155B0"/>
    <w:rsid w:val="6B3E23A9"/>
    <w:rsid w:val="6BE61376"/>
    <w:rsid w:val="6C89456C"/>
    <w:rsid w:val="6CDA037D"/>
    <w:rsid w:val="6CE04AAC"/>
    <w:rsid w:val="6D3F6FC9"/>
    <w:rsid w:val="6D663271"/>
    <w:rsid w:val="6D9B5DDA"/>
    <w:rsid w:val="6E0E0054"/>
    <w:rsid w:val="6E1A3E05"/>
    <w:rsid w:val="6E8F6C22"/>
    <w:rsid w:val="6E910F1B"/>
    <w:rsid w:val="6F205D6A"/>
    <w:rsid w:val="6F4E3D60"/>
    <w:rsid w:val="6F901B66"/>
    <w:rsid w:val="6FA629D4"/>
    <w:rsid w:val="6FA679E4"/>
    <w:rsid w:val="6FA938B1"/>
    <w:rsid w:val="6FC05247"/>
    <w:rsid w:val="6FD10552"/>
    <w:rsid w:val="6FD8258B"/>
    <w:rsid w:val="700D1389"/>
    <w:rsid w:val="705D6B36"/>
    <w:rsid w:val="70602E31"/>
    <w:rsid w:val="70912EBC"/>
    <w:rsid w:val="70BB2EF0"/>
    <w:rsid w:val="70D35B89"/>
    <w:rsid w:val="71811486"/>
    <w:rsid w:val="72014F9D"/>
    <w:rsid w:val="7205242C"/>
    <w:rsid w:val="72694601"/>
    <w:rsid w:val="728A44C9"/>
    <w:rsid w:val="72C33A8B"/>
    <w:rsid w:val="73191D87"/>
    <w:rsid w:val="73414765"/>
    <w:rsid w:val="73455C21"/>
    <w:rsid w:val="73925BAA"/>
    <w:rsid w:val="73D425F7"/>
    <w:rsid w:val="74263AAC"/>
    <w:rsid w:val="743F76C2"/>
    <w:rsid w:val="74E01F10"/>
    <w:rsid w:val="750A2023"/>
    <w:rsid w:val="762338B0"/>
    <w:rsid w:val="7676736A"/>
    <w:rsid w:val="76933951"/>
    <w:rsid w:val="76DE38FA"/>
    <w:rsid w:val="76FA3873"/>
    <w:rsid w:val="770E104F"/>
    <w:rsid w:val="771D661B"/>
    <w:rsid w:val="771F7714"/>
    <w:rsid w:val="77317864"/>
    <w:rsid w:val="775D48D0"/>
    <w:rsid w:val="777E145F"/>
    <w:rsid w:val="77C10EDE"/>
    <w:rsid w:val="78391D4B"/>
    <w:rsid w:val="785379A4"/>
    <w:rsid w:val="786F307A"/>
    <w:rsid w:val="78782A0D"/>
    <w:rsid w:val="788F42B8"/>
    <w:rsid w:val="78E01FEE"/>
    <w:rsid w:val="78FB0369"/>
    <w:rsid w:val="79072453"/>
    <w:rsid w:val="797C1090"/>
    <w:rsid w:val="797C4D5F"/>
    <w:rsid w:val="79A2171F"/>
    <w:rsid w:val="79A252FF"/>
    <w:rsid w:val="79D33056"/>
    <w:rsid w:val="7A2F65F6"/>
    <w:rsid w:val="7A6827EB"/>
    <w:rsid w:val="7AAE70ED"/>
    <w:rsid w:val="7ADE0D63"/>
    <w:rsid w:val="7B553028"/>
    <w:rsid w:val="7B604BC4"/>
    <w:rsid w:val="7B7442C0"/>
    <w:rsid w:val="7B7C74A8"/>
    <w:rsid w:val="7B9A3154"/>
    <w:rsid w:val="7C26369C"/>
    <w:rsid w:val="7C655457"/>
    <w:rsid w:val="7C9E5A24"/>
    <w:rsid w:val="7CA17D91"/>
    <w:rsid w:val="7CAC00CB"/>
    <w:rsid w:val="7CD40FDF"/>
    <w:rsid w:val="7D575412"/>
    <w:rsid w:val="7D62117D"/>
    <w:rsid w:val="7D691FB7"/>
    <w:rsid w:val="7DB275A7"/>
    <w:rsid w:val="7DB54254"/>
    <w:rsid w:val="7DE13811"/>
    <w:rsid w:val="7DE21475"/>
    <w:rsid w:val="7E3E1EF2"/>
    <w:rsid w:val="7E7745C1"/>
    <w:rsid w:val="7E8070E2"/>
    <w:rsid w:val="7E951513"/>
    <w:rsid w:val="7E9B749B"/>
    <w:rsid w:val="7EA27EB5"/>
    <w:rsid w:val="7EAB435E"/>
    <w:rsid w:val="7EBD7F90"/>
    <w:rsid w:val="7ED001FD"/>
    <w:rsid w:val="7EF74FC9"/>
    <w:rsid w:val="7F3C0B3F"/>
    <w:rsid w:val="7FFB2C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s>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4"/>
    <w:next w:val="1"/>
    <w:qFormat/>
    <w:uiPriority w:val="9"/>
    <w:pPr>
      <w:tabs>
        <w:tab w:val="clear" w:pos="0"/>
      </w:tabs>
      <w:outlineLvl w:val="3"/>
    </w:pPr>
    <w:rPr>
      <w:sz w:val="24"/>
    </w:rPr>
  </w:style>
  <w:style w:type="paragraph" w:styleId="6">
    <w:name w:val="heading 5"/>
    <w:basedOn w:val="5"/>
    <w:next w:val="1"/>
    <w:qFormat/>
    <w:uiPriority w:val="9"/>
    <w:pPr>
      <w:outlineLvl w:val="4"/>
    </w:pPr>
    <w:rPr>
      <w:sz w:val="22"/>
    </w:rPr>
  </w:style>
  <w:style w:type="paragraph" w:styleId="7">
    <w:name w:val="heading 6"/>
    <w:basedOn w:val="8"/>
    <w:next w:val="1"/>
    <w:link w:val="59"/>
    <w:semiHidden/>
    <w:unhideWhenUsed/>
    <w:qFormat/>
    <w:uiPriority w:val="99"/>
    <w:pPr>
      <w:tabs>
        <w:tab w:val="left" w:pos="-4820"/>
      </w:tabs>
      <w:spacing w:before="240" w:after="64" w:line="320" w:lineRule="auto"/>
      <w:outlineLvl w:val="5"/>
    </w:pPr>
    <w:rPr>
      <w:rFonts w:asciiTheme="majorHAnsi" w:hAnsiTheme="majorHAnsi" w:eastAsiaTheme="majorEastAsia" w:cstheme="majorBidi"/>
      <w:b/>
      <w:bCs/>
      <w:sz w:val="24"/>
      <w:szCs w:val="24"/>
    </w:rPr>
  </w:style>
  <w:style w:type="character" w:default="1" w:styleId="24">
    <w:name w:val="Default Paragraph Font"/>
    <w:semiHidden/>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spacing w:before="120"/>
    </w:pPr>
    <w:rPr>
      <w:b/>
      <w:bCs/>
    </w:rPr>
  </w:style>
  <w:style w:type="paragraph" w:styleId="10">
    <w:name w:val="List Bullet"/>
    <w:basedOn w:val="11"/>
    <w:semiHidden/>
    <w:unhideWhenUsed/>
    <w:qFormat/>
    <w:uiPriority w:val="99"/>
    <w:pPr>
      <w:numPr>
        <w:ilvl w:val="0"/>
        <w:numId w:val="2"/>
      </w:numPr>
    </w:pPr>
  </w:style>
  <w:style w:type="paragraph" w:styleId="11">
    <w:name w:val="List"/>
    <w:basedOn w:val="1"/>
    <w:qFormat/>
    <w:uiPriority w:val="0"/>
    <w:pPr>
      <w:ind w:left="568" w:hanging="284"/>
    </w:pPr>
  </w:style>
  <w:style w:type="paragraph" w:styleId="12">
    <w:name w:val="annotation text"/>
    <w:basedOn w:val="1"/>
    <w:link w:val="63"/>
    <w:semiHidden/>
    <w:qFormat/>
    <w:uiPriority w:val="0"/>
    <w:pPr>
      <w:tabs>
        <w:tab w:val="left" w:pos="1418"/>
        <w:tab w:val="left" w:pos="4678"/>
        <w:tab w:val="left" w:pos="5954"/>
        <w:tab w:val="left" w:pos="7088"/>
      </w:tabs>
      <w:spacing w:after="240"/>
    </w:pPr>
    <w:rPr>
      <w:rFonts w:ascii="Arial" w:hAnsi="Arial"/>
    </w:rPr>
  </w:style>
  <w:style w:type="paragraph" w:styleId="13">
    <w:name w:val="toc 3"/>
    <w:basedOn w:val="1"/>
    <w:next w:val="1"/>
    <w:link w:val="48"/>
    <w:unhideWhenUsed/>
    <w:qFormat/>
    <w:uiPriority w:val="39"/>
    <w:pPr>
      <w:ind w:left="880" w:leftChars="400"/>
    </w:pPr>
    <w:rPr>
      <w:b/>
      <w:i/>
    </w:rPr>
  </w:style>
  <w:style w:type="paragraph" w:styleId="14">
    <w:name w:val="Balloon Text"/>
    <w:basedOn w:val="1"/>
    <w:link w:val="28"/>
    <w:semiHidden/>
    <w:unhideWhenUsed/>
    <w:qFormat/>
    <w:uiPriority w:val="99"/>
    <w:rPr>
      <w:sz w:val="18"/>
      <w:szCs w:val="18"/>
    </w:rPr>
  </w:style>
  <w:style w:type="paragraph" w:styleId="15">
    <w:name w:val="footer"/>
    <w:basedOn w:val="1"/>
    <w:link w:val="55"/>
    <w:unhideWhenUsed/>
    <w:qFormat/>
    <w:uiPriority w:val="99"/>
    <w:pPr>
      <w:tabs>
        <w:tab w:val="center" w:pos="4153"/>
        <w:tab w:val="right" w:pos="8306"/>
      </w:tabs>
      <w:snapToGrid w:val="0"/>
    </w:pPr>
    <w:rPr>
      <w:sz w:val="18"/>
      <w:szCs w:val="18"/>
    </w:rPr>
  </w:style>
  <w:style w:type="paragraph" w:styleId="16">
    <w:name w:val="header"/>
    <w:link w:val="39"/>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7">
    <w:name w:val="toc 1"/>
    <w:basedOn w:val="1"/>
    <w:next w:val="1"/>
    <w:link w:val="42"/>
    <w:unhideWhenUsed/>
    <w:qFormat/>
    <w:uiPriority w:val="39"/>
    <w:rPr>
      <w:b/>
      <w:i/>
    </w:r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link w:val="45"/>
    <w:unhideWhenUsed/>
    <w:qFormat/>
    <w:uiPriority w:val="39"/>
    <w:pPr>
      <w:snapToGrid w:val="0"/>
      <w:ind w:left="618" w:leftChars="200"/>
    </w:pPr>
    <w:rPr>
      <w:b/>
      <w:i/>
    </w:rPr>
  </w:style>
  <w:style w:type="paragraph" w:styleId="20">
    <w:name w:val="Normal (Web)"/>
    <w:unhideWhenUsed/>
    <w:qFormat/>
    <w:uiPriority w:val="99"/>
    <w:rPr>
      <w:rFonts w:ascii="Times New Roman" w:hAnsi="Times New Roman" w:eastAsia="宋体" w:cs="Times New Roman"/>
      <w:sz w:val="24"/>
      <w:lang w:val="en-GB" w:eastAsia="en-US" w:bidi="ar-SA"/>
    </w:rPr>
  </w:style>
  <w:style w:type="paragraph" w:styleId="21">
    <w:name w:val="annotation subject"/>
    <w:basedOn w:val="12"/>
    <w:next w:val="12"/>
    <w:link w:val="64"/>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3">
    <w:name w:val="Table Grid"/>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25">
    <w:name w:val="page number"/>
    <w:basedOn w:val="24"/>
    <w:semiHidden/>
    <w:qFormat/>
    <w:uiPriority w:val="0"/>
  </w:style>
  <w:style w:type="character" w:styleId="26">
    <w:name w:val="Hyperlink"/>
    <w:basedOn w:val="24"/>
    <w:unhideWhenUsed/>
    <w:qFormat/>
    <w:uiPriority w:val="99"/>
    <w:rPr>
      <w:color w:val="0000FF" w:themeColor="hyperlink"/>
      <w:u w:val="single"/>
      <w14:textFill>
        <w14:solidFill>
          <w14:schemeClr w14:val="hlink"/>
        </w14:solidFill>
      </w14:textFill>
    </w:rPr>
  </w:style>
  <w:style w:type="character" w:styleId="27">
    <w:name w:val="annotation reference"/>
    <w:basedOn w:val="24"/>
    <w:qFormat/>
    <w:uiPriority w:val="0"/>
    <w:rPr>
      <w:sz w:val="16"/>
      <w:szCs w:val="16"/>
    </w:rPr>
  </w:style>
  <w:style w:type="character" w:customStyle="1" w:styleId="28">
    <w:name w:val="批注框文本 字符"/>
    <w:basedOn w:val="24"/>
    <w:link w:val="14"/>
    <w:semiHidden/>
    <w:qFormat/>
    <w:uiPriority w:val="99"/>
    <w:rPr>
      <w:rFonts w:eastAsia="Times New Roman"/>
      <w:kern w:val="2"/>
      <w:sz w:val="18"/>
      <w:szCs w:val="18"/>
    </w:rPr>
  </w:style>
  <w:style w:type="paragraph" w:customStyle="1" w:styleId="29">
    <w:name w:val="Proposal"/>
    <w:basedOn w:val="1"/>
    <w:qFormat/>
    <w:uiPriority w:val="0"/>
    <w:pPr>
      <w:numPr>
        <w:ilvl w:val="0"/>
        <w:numId w:val="3"/>
      </w:numPr>
      <w:tabs>
        <w:tab w:val="left" w:pos="420"/>
      </w:tabs>
      <w:spacing w:before="30" w:beforeLines="30" w:after="30" w:afterLines="30" w:line="288" w:lineRule="auto"/>
      <w:ind w:left="0" w:firstLine="0"/>
    </w:pPr>
    <w:rPr>
      <w:b/>
      <w:bCs/>
      <w:i/>
      <w:iCs/>
    </w:rPr>
  </w:style>
  <w:style w:type="paragraph" w:customStyle="1" w:styleId="30">
    <w:name w:val="!ZTE-Proposal-2021 + 段前: 0.5 行 段后: 0.5 行"/>
    <w:basedOn w:val="1"/>
    <w:qFormat/>
    <w:uiPriority w:val="0"/>
    <w:pPr>
      <w:numPr>
        <w:ilvl w:val="0"/>
        <w:numId w:val="4"/>
      </w:numPr>
      <w:spacing w:before="30" w:beforeLines="30" w:after="30" w:afterLines="30" w:line="288" w:lineRule="auto"/>
      <w:jc w:val="left"/>
    </w:pPr>
    <w:rPr>
      <w:rFonts w:cs="宋体" w:eastAsiaTheme="minorEastAsia"/>
      <w:b/>
      <w:bCs/>
      <w:i/>
      <w:iCs/>
      <w:lang w:val="en-GB"/>
    </w:rPr>
  </w:style>
  <w:style w:type="paragraph" w:customStyle="1" w:styleId="31">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32">
    <w:name w:val="!ZTE-Observation-2021"/>
    <w:basedOn w:val="1"/>
    <w:qFormat/>
    <w:uiPriority w:val="0"/>
    <w:pPr>
      <w:numPr>
        <w:ilvl w:val="0"/>
        <w:numId w:val="5"/>
      </w:numPr>
      <w:snapToGrid w:val="0"/>
      <w:spacing w:before="30" w:beforeLines="30" w:after="30" w:afterLines="30" w:line="288" w:lineRule="auto"/>
      <w:ind w:left="0" w:firstLine="0"/>
      <w:jc w:val="left"/>
      <w:textAlignment w:val="center"/>
    </w:pPr>
    <w:rPr>
      <w:rFonts w:cs="宋体" w:eastAsiaTheme="minorEastAsia"/>
      <w:b/>
      <w:bCs/>
      <w:i/>
      <w:iCs/>
      <w:lang w:val="en-GB" w:eastAsia="en-US"/>
    </w:rPr>
  </w:style>
  <w:style w:type="paragraph" w:customStyle="1" w:styleId="33">
    <w:name w:val="sub-proposal"/>
    <w:basedOn w:val="1"/>
    <w:qFormat/>
    <w:uiPriority w:val="0"/>
    <w:pPr>
      <w:numPr>
        <w:ilvl w:val="0"/>
        <w:numId w:val="6"/>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34">
    <w:name w:val="sub-observation"/>
    <w:basedOn w:val="33"/>
    <w:qFormat/>
    <w:uiPriority w:val="0"/>
    <w:pPr>
      <w:numPr>
        <w:ilvl w:val="0"/>
        <w:numId w:val="7"/>
      </w:numPr>
      <w:ind w:left="0" w:firstLine="0"/>
    </w:pPr>
    <w:rPr>
      <w:rFonts w:eastAsia="宋体"/>
    </w:rPr>
  </w:style>
  <w:style w:type="paragraph" w:customStyle="1" w:styleId="35">
    <w:name w:val="3rd level proposal"/>
    <w:basedOn w:val="33"/>
    <w:qFormat/>
    <w:uiPriority w:val="0"/>
    <w:pPr>
      <w:numPr>
        <w:ilvl w:val="0"/>
        <w:numId w:val="8"/>
      </w:numPr>
      <w:ind w:left="627" w:leftChars="200" w:firstLine="0"/>
    </w:pPr>
  </w:style>
  <w:style w:type="paragraph" w:customStyle="1" w:styleId="36">
    <w:name w:val="3rd level observation"/>
    <w:basedOn w:val="34"/>
    <w:qFormat/>
    <w:uiPriority w:val="0"/>
    <w:pPr>
      <w:numPr>
        <w:ilvl w:val="0"/>
        <w:numId w:val="9"/>
      </w:numPr>
      <w:tabs>
        <w:tab w:val="left" w:pos="1134"/>
        <w:tab w:val="clear" w:pos="993"/>
      </w:tabs>
      <w:ind w:left="1131" w:leftChars="496" w:hanging="139" w:hangingChars="69"/>
    </w:pPr>
    <w:rPr>
      <w:rFonts w:eastAsiaTheme="minorEastAsia"/>
    </w:rPr>
  </w:style>
  <w:style w:type="paragraph" w:customStyle="1" w:styleId="37">
    <w:name w:val="References"/>
    <w:basedOn w:val="1"/>
    <w:qFormat/>
    <w:uiPriority w:val="0"/>
    <w:pPr>
      <w:numPr>
        <w:ilvl w:val="0"/>
        <w:numId w:val="10"/>
      </w:numPr>
      <w:spacing w:after="60"/>
    </w:pPr>
    <w:rPr>
      <w:szCs w:val="16"/>
    </w:rPr>
  </w:style>
  <w:style w:type="paragraph" w:styleId="38">
    <w:name w:val="List Paragraph"/>
    <w:basedOn w:val="1"/>
    <w:qFormat/>
    <w:uiPriority w:val="34"/>
    <w:pPr>
      <w:spacing w:beforeLines="0"/>
      <w:ind w:left="720"/>
      <w:contextualSpacing/>
    </w:pPr>
    <w:rPr>
      <w:sz w:val="24"/>
      <w:szCs w:val="24"/>
    </w:rPr>
  </w:style>
  <w:style w:type="character" w:customStyle="1" w:styleId="39">
    <w:name w:val="页眉 字符"/>
    <w:basedOn w:val="24"/>
    <w:link w:val="16"/>
    <w:qFormat/>
    <w:uiPriority w:val="99"/>
    <w:rPr>
      <w:rFonts w:eastAsia="Times New Roman"/>
      <w:kern w:val="2"/>
      <w:sz w:val="18"/>
      <w:szCs w:val="18"/>
    </w:rPr>
  </w:style>
  <w:style w:type="paragraph" w:customStyle="1" w:styleId="40">
    <w:name w:val="ZTE-C-proposal"/>
    <w:basedOn w:val="17"/>
    <w:link w:val="43"/>
    <w:qFormat/>
    <w:uiPriority w:val="0"/>
    <w:pPr>
      <w:spacing w:before="120" w:after="120"/>
      <w:ind w:left="1104" w:hanging="1104" w:hangingChars="550"/>
    </w:pPr>
  </w:style>
  <w:style w:type="paragraph" w:customStyle="1" w:styleId="41">
    <w:name w:val="ZTE-C-subProposal"/>
    <w:basedOn w:val="19"/>
    <w:link w:val="46"/>
    <w:qFormat/>
    <w:uiPriority w:val="0"/>
    <w:pPr>
      <w:tabs>
        <w:tab w:val="left" w:pos="993"/>
        <w:tab w:val="right" w:leader="dot" w:pos="9650"/>
      </w:tabs>
      <w:spacing w:before="120" w:after="120"/>
      <w:ind w:left="708" w:leftChars="354"/>
    </w:pPr>
  </w:style>
  <w:style w:type="character" w:customStyle="1" w:styleId="42">
    <w:name w:val="TOC 1 字符"/>
    <w:basedOn w:val="24"/>
    <w:link w:val="17"/>
    <w:qFormat/>
    <w:uiPriority w:val="39"/>
    <w:rPr>
      <w:rFonts w:eastAsia="Times New Roman"/>
      <w:b/>
      <w:i/>
      <w:kern w:val="2"/>
    </w:rPr>
  </w:style>
  <w:style w:type="character" w:customStyle="1" w:styleId="43">
    <w:name w:val="ZTE-C-proposal 字符"/>
    <w:basedOn w:val="42"/>
    <w:link w:val="40"/>
    <w:qFormat/>
    <w:uiPriority w:val="0"/>
    <w:rPr>
      <w:rFonts w:eastAsia="Times New Roman"/>
      <w:color w:val="000000"/>
      <w:kern w:val="2"/>
    </w:rPr>
  </w:style>
  <w:style w:type="paragraph" w:customStyle="1" w:styleId="44">
    <w:name w:val="ZTE-C-3rd level proposal"/>
    <w:basedOn w:val="13"/>
    <w:link w:val="49"/>
    <w:qFormat/>
    <w:uiPriority w:val="0"/>
    <w:pPr>
      <w:tabs>
        <w:tab w:val="left" w:pos="1276"/>
        <w:tab w:val="right" w:leader="dot" w:pos="9650"/>
      </w:tabs>
      <w:spacing w:before="120" w:after="120"/>
      <w:ind w:left="1134" w:leftChars="567"/>
    </w:pPr>
  </w:style>
  <w:style w:type="character" w:customStyle="1" w:styleId="45">
    <w:name w:val="TOC 2 字符"/>
    <w:basedOn w:val="24"/>
    <w:link w:val="19"/>
    <w:qFormat/>
    <w:uiPriority w:val="39"/>
    <w:rPr>
      <w:rFonts w:eastAsia="Times New Roman"/>
      <w:b/>
      <w:i/>
      <w:kern w:val="2"/>
    </w:rPr>
  </w:style>
  <w:style w:type="character" w:customStyle="1" w:styleId="46">
    <w:name w:val="ZTE-C-subProposal 字符"/>
    <w:basedOn w:val="45"/>
    <w:link w:val="41"/>
    <w:qFormat/>
    <w:uiPriority w:val="0"/>
    <w:rPr>
      <w:rFonts w:eastAsia="Times New Roman"/>
      <w:kern w:val="2"/>
    </w:rPr>
  </w:style>
  <w:style w:type="paragraph" w:customStyle="1" w:styleId="47">
    <w:name w:val="ZTE-C-Observation"/>
    <w:basedOn w:val="17"/>
    <w:link w:val="51"/>
    <w:qFormat/>
    <w:uiPriority w:val="0"/>
    <w:pPr>
      <w:tabs>
        <w:tab w:val="left" w:pos="1470"/>
        <w:tab w:val="right" w:pos="9650"/>
      </w:tabs>
      <w:spacing w:before="120" w:after="120"/>
      <w:ind w:left="1273" w:hanging="1273" w:hangingChars="634"/>
    </w:pPr>
  </w:style>
  <w:style w:type="character" w:customStyle="1" w:styleId="48">
    <w:name w:val="TOC 3 字符"/>
    <w:basedOn w:val="24"/>
    <w:link w:val="13"/>
    <w:qFormat/>
    <w:uiPriority w:val="39"/>
    <w:rPr>
      <w:rFonts w:eastAsia="Times New Roman"/>
      <w:b/>
      <w:i/>
      <w:kern w:val="2"/>
    </w:rPr>
  </w:style>
  <w:style w:type="character" w:customStyle="1" w:styleId="49">
    <w:name w:val="ZTE-C-3rd level proposal 字符"/>
    <w:basedOn w:val="48"/>
    <w:link w:val="44"/>
    <w:qFormat/>
    <w:uiPriority w:val="0"/>
    <w:rPr>
      <w:rFonts w:eastAsia="Times New Roman"/>
      <w:kern w:val="2"/>
    </w:rPr>
  </w:style>
  <w:style w:type="paragraph" w:customStyle="1" w:styleId="50">
    <w:name w:val="ZTE-C-sub-Observation"/>
    <w:basedOn w:val="19"/>
    <w:link w:val="53"/>
    <w:qFormat/>
    <w:uiPriority w:val="0"/>
    <w:pPr>
      <w:tabs>
        <w:tab w:val="left" w:pos="993"/>
        <w:tab w:val="right" w:pos="9650"/>
      </w:tabs>
      <w:spacing w:before="120" w:after="120"/>
      <w:ind w:left="850" w:leftChars="425"/>
    </w:pPr>
  </w:style>
  <w:style w:type="character" w:customStyle="1" w:styleId="51">
    <w:name w:val="ZTE-C-Observation 字符"/>
    <w:basedOn w:val="42"/>
    <w:link w:val="47"/>
    <w:qFormat/>
    <w:uiPriority w:val="0"/>
    <w:rPr>
      <w:rFonts w:eastAsia="Times New Roman"/>
      <w:kern w:val="2"/>
    </w:rPr>
  </w:style>
  <w:style w:type="paragraph" w:customStyle="1" w:styleId="52">
    <w:name w:val="ZTE-C-3rd level Observation"/>
    <w:basedOn w:val="13"/>
    <w:link w:val="54"/>
    <w:qFormat/>
    <w:uiPriority w:val="0"/>
    <w:pPr>
      <w:tabs>
        <w:tab w:val="left" w:pos="1260"/>
        <w:tab w:val="right" w:pos="9650"/>
      </w:tabs>
      <w:spacing w:before="120" w:after="120"/>
      <w:ind w:left="1134" w:leftChars="567"/>
    </w:pPr>
  </w:style>
  <w:style w:type="character" w:customStyle="1" w:styleId="53">
    <w:name w:val="ZTE-C-sub-Observation 字符"/>
    <w:basedOn w:val="45"/>
    <w:link w:val="50"/>
    <w:qFormat/>
    <w:uiPriority w:val="0"/>
    <w:rPr>
      <w:rFonts w:eastAsia="Times New Roman"/>
      <w:kern w:val="2"/>
    </w:rPr>
  </w:style>
  <w:style w:type="character" w:customStyle="1" w:styleId="54">
    <w:name w:val="ZTE-C-3rd level Observation 字符"/>
    <w:basedOn w:val="48"/>
    <w:link w:val="52"/>
    <w:qFormat/>
    <w:uiPriority w:val="0"/>
    <w:rPr>
      <w:rFonts w:eastAsia="Times New Roman"/>
      <w:kern w:val="2"/>
    </w:rPr>
  </w:style>
  <w:style w:type="character" w:customStyle="1" w:styleId="55">
    <w:name w:val="页脚 字符"/>
    <w:basedOn w:val="24"/>
    <w:link w:val="15"/>
    <w:qFormat/>
    <w:uiPriority w:val="99"/>
    <w:rPr>
      <w:rFonts w:eastAsia="Times New Roman"/>
      <w:kern w:val="2"/>
      <w:sz w:val="18"/>
      <w:szCs w:val="18"/>
    </w:rPr>
  </w:style>
  <w:style w:type="paragraph" w:customStyle="1" w:styleId="56">
    <w:name w:val="Obervation"/>
    <w:qFormat/>
    <w:uiPriority w:val="0"/>
    <w:pPr>
      <w:numPr>
        <w:ilvl w:val="0"/>
        <w:numId w:val="11"/>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57">
    <w:name w:val="Agreement"/>
    <w:basedOn w:val="1"/>
    <w:next w:val="58"/>
    <w:qFormat/>
    <w:uiPriority w:val="99"/>
    <w:pPr>
      <w:numPr>
        <w:ilvl w:val="0"/>
        <w:numId w:val="12"/>
      </w:numPr>
      <w:tabs>
        <w:tab w:val="left" w:pos="1619"/>
        <w:tab w:val="clear" w:pos="359"/>
      </w:tabs>
      <w:spacing w:before="60"/>
    </w:pPr>
    <w:rPr>
      <w:b/>
    </w:rPr>
  </w:style>
  <w:style w:type="paragraph" w:customStyle="1" w:styleId="58">
    <w:name w:val="Doc-text2"/>
    <w:basedOn w:val="1"/>
    <w:qFormat/>
    <w:uiPriority w:val="0"/>
    <w:pPr>
      <w:tabs>
        <w:tab w:val="left" w:pos="1622"/>
      </w:tabs>
      <w:ind w:left="1622" w:hanging="363"/>
    </w:pPr>
  </w:style>
  <w:style w:type="character" w:customStyle="1" w:styleId="59">
    <w:name w:val="标题 6 字符"/>
    <w:basedOn w:val="24"/>
    <w:link w:val="7"/>
    <w:semiHidden/>
    <w:qFormat/>
    <w:uiPriority w:val="99"/>
    <w:rPr>
      <w:rFonts w:asciiTheme="majorHAnsi" w:hAnsiTheme="majorHAnsi" w:eastAsiaTheme="majorEastAsia" w:cstheme="majorBidi"/>
      <w:b/>
      <w:bCs/>
      <w:kern w:val="2"/>
      <w:sz w:val="24"/>
      <w:szCs w:val="24"/>
    </w:rPr>
  </w:style>
  <w:style w:type="paragraph" w:customStyle="1" w:styleId="60">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61">
    <w:name w:val="网格型浅色1"/>
    <w:basedOn w:val="22"/>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62">
    <w:name w:val="TAL"/>
    <w:basedOn w:val="1"/>
    <w:qFormat/>
    <w:uiPriority w:val="0"/>
    <w:pPr>
      <w:keepNext/>
      <w:keepLines/>
    </w:pPr>
    <w:rPr>
      <w:rFonts w:ascii="Arial" w:hAnsi="Arial"/>
      <w:sz w:val="18"/>
    </w:rPr>
  </w:style>
  <w:style w:type="character" w:customStyle="1" w:styleId="63">
    <w:name w:val="批注文字 字符"/>
    <w:basedOn w:val="24"/>
    <w:link w:val="12"/>
    <w:semiHidden/>
    <w:qFormat/>
    <w:uiPriority w:val="0"/>
    <w:rPr>
      <w:rFonts w:ascii="Arial" w:hAnsi="Arial" w:eastAsia="Times New Roman"/>
      <w:kern w:val="2"/>
    </w:rPr>
  </w:style>
  <w:style w:type="character" w:customStyle="1" w:styleId="64">
    <w:name w:val="批注主题 字符"/>
    <w:basedOn w:val="63"/>
    <w:link w:val="21"/>
    <w:semiHidden/>
    <w:qFormat/>
    <w:uiPriority w:val="99"/>
    <w:rPr>
      <w:rFonts w:ascii="Arial" w:hAnsi="Arial" w:eastAsia="Times New Roman"/>
      <w:b/>
      <w:bCs/>
      <w:kern w:val="2"/>
    </w:rPr>
  </w:style>
  <w:style w:type="paragraph" w:customStyle="1" w:styleId="65">
    <w:name w:val="B1"/>
    <w:basedOn w:val="1"/>
    <w:qFormat/>
    <w:uiPriority w:val="0"/>
    <w:pPr>
      <w:ind w:left="567" w:hanging="567"/>
    </w:pPr>
    <w:rPr>
      <w:rFonts w:ascii="Arial" w:hAnsi="Arial"/>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2EA80-7D5F-4D77-9D48-45BE4F3BFB23}">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17</Pages>
  <Words>7278</Words>
  <Characters>41487</Characters>
  <Lines>345</Lines>
  <Paragraphs>97</Paragraphs>
  <TotalTime>24</TotalTime>
  <ScaleCrop>false</ScaleCrop>
  <LinksUpToDate>false</LinksUpToDate>
  <CharactersWithSpaces>48668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2023-11-02T03:32:00Z</dcterms:created>
  <dc:creator>ZTE</dc:creator>
  <cp:lastModifiedBy>ZTE</cp:lastModifiedBy>
  <dcterms:modified xsi:type="dcterms:W3CDTF">2023-11-03T07:24:18Z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7587DA5116344638BB988CE5E37F3552</vt:lpwstr>
  </property>
</Properties>
</file>